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6A41E" w14:textId="32924750" w:rsidR="004620FD" w:rsidRDefault="00C06E41" w:rsidP="004620FD">
      <w:pPr>
        <w:spacing w:after="120" w:line="276" w:lineRule="auto"/>
        <w:jc w:val="center"/>
        <w:rPr>
          <w:rFonts w:ascii="Arial" w:hAnsi="Arial" w:cs="Arial"/>
          <w:b/>
          <w:bCs/>
          <w:sz w:val="28"/>
          <w:szCs w:val="28"/>
        </w:rPr>
      </w:pPr>
      <w:r w:rsidRPr="00C06E41">
        <w:rPr>
          <w:rFonts w:ascii="Arial" w:hAnsi="Arial" w:cs="Arial"/>
          <w:b/>
          <w:bCs/>
          <w:sz w:val="28"/>
          <w:szCs w:val="28"/>
        </w:rPr>
        <w:t>P</w:t>
      </w:r>
      <w:r w:rsidR="004620FD">
        <w:rPr>
          <w:rFonts w:ascii="Arial" w:hAnsi="Arial" w:cs="Arial"/>
          <w:b/>
          <w:bCs/>
          <w:sz w:val="28"/>
          <w:szCs w:val="28"/>
        </w:rPr>
        <w:t>apilduzdevums p</w:t>
      </w:r>
      <w:r w:rsidRPr="00C06E41">
        <w:rPr>
          <w:rFonts w:ascii="Arial" w:hAnsi="Arial" w:cs="Arial"/>
          <w:b/>
          <w:bCs/>
          <w:sz w:val="28"/>
          <w:szCs w:val="28"/>
        </w:rPr>
        <w:t>ārbaudes darb</w:t>
      </w:r>
      <w:r w:rsidR="004620FD">
        <w:rPr>
          <w:rFonts w:ascii="Arial" w:hAnsi="Arial" w:cs="Arial"/>
          <w:b/>
          <w:bCs/>
          <w:sz w:val="28"/>
          <w:szCs w:val="28"/>
        </w:rPr>
        <w:t>am</w:t>
      </w:r>
      <w:r>
        <w:rPr>
          <w:rFonts w:ascii="Arial" w:hAnsi="Arial" w:cs="Arial"/>
          <w:b/>
          <w:bCs/>
          <w:sz w:val="28"/>
          <w:szCs w:val="28"/>
        </w:rPr>
        <w:t xml:space="preserve"> "</w:t>
      </w:r>
      <w:r w:rsidR="00472DEC">
        <w:rPr>
          <w:rFonts w:ascii="Arial" w:hAnsi="Arial" w:cs="Arial"/>
          <w:b/>
          <w:bCs/>
          <w:sz w:val="28"/>
          <w:szCs w:val="28"/>
        </w:rPr>
        <w:t>Labklājība</w:t>
      </w:r>
      <w:r>
        <w:rPr>
          <w:rFonts w:ascii="Arial" w:hAnsi="Arial" w:cs="Arial"/>
          <w:b/>
          <w:bCs/>
          <w:sz w:val="28"/>
          <w:szCs w:val="28"/>
        </w:rPr>
        <w:t>"</w:t>
      </w:r>
      <w:r w:rsidR="004620FD">
        <w:rPr>
          <w:rFonts w:ascii="Arial" w:hAnsi="Arial" w:cs="Arial"/>
          <w:b/>
          <w:bCs/>
          <w:sz w:val="28"/>
          <w:szCs w:val="28"/>
        </w:rPr>
        <w:t xml:space="preserve"> </w:t>
      </w:r>
    </w:p>
    <w:p w14:paraId="6F05511D" w14:textId="77777777" w:rsidR="004620FD" w:rsidRPr="004620FD" w:rsidRDefault="004620FD" w:rsidP="004620FD">
      <w:pPr>
        <w:pStyle w:val="Sarakstarindkopa"/>
        <w:ind w:left="0"/>
        <w:rPr>
          <w:rFonts w:ascii="Arial" w:hAnsi="Arial" w:cs="Arial"/>
          <w:bCs/>
          <w:szCs w:val="24"/>
        </w:rPr>
      </w:pPr>
    </w:p>
    <w:p w14:paraId="3A05C164" w14:textId="1C08F88C" w:rsidR="004620FD" w:rsidRPr="004620FD" w:rsidRDefault="004620FD" w:rsidP="004620FD">
      <w:pPr>
        <w:pStyle w:val="Sarakstarindkopa"/>
        <w:ind w:left="0"/>
        <w:rPr>
          <w:rFonts w:ascii="Arial" w:hAnsi="Arial" w:cs="Arial"/>
          <w:szCs w:val="24"/>
        </w:rPr>
      </w:pPr>
      <w:r w:rsidRPr="004620FD">
        <w:rPr>
          <w:rFonts w:ascii="Arial" w:hAnsi="Arial" w:cs="Arial"/>
          <w:szCs w:val="24"/>
        </w:rPr>
        <w:t xml:space="preserve">Izlasi "Manas ekonomika" 10. nodaļas sadaļu "Rādītāji, kas palīdz </w:t>
      </w:r>
      <w:proofErr w:type="spellStart"/>
      <w:r w:rsidRPr="004620FD">
        <w:rPr>
          <w:rFonts w:ascii="Arial" w:hAnsi="Arial" w:cs="Arial"/>
          <w:szCs w:val="24"/>
        </w:rPr>
        <w:t>aptverošāk</w:t>
      </w:r>
      <w:proofErr w:type="spellEnd"/>
      <w:r w:rsidRPr="004620FD">
        <w:rPr>
          <w:rFonts w:ascii="Arial" w:hAnsi="Arial" w:cs="Arial"/>
          <w:szCs w:val="24"/>
        </w:rPr>
        <w:t xml:space="preserve"> izvērtēt iekšzemes kopprodukta pārmaiņas"</w:t>
      </w:r>
      <w:r>
        <w:rPr>
          <w:rFonts w:ascii="Arial" w:hAnsi="Arial" w:cs="Arial"/>
          <w:szCs w:val="24"/>
        </w:rPr>
        <w:t>!</w:t>
      </w:r>
    </w:p>
    <w:p w14:paraId="09D8FCE9" w14:textId="77777777" w:rsidR="004620FD" w:rsidRPr="004620FD" w:rsidRDefault="004620FD" w:rsidP="004620FD">
      <w:pPr>
        <w:pStyle w:val="Sarakstarindkopa"/>
        <w:ind w:left="0"/>
        <w:rPr>
          <w:rFonts w:ascii="Arial" w:hAnsi="Arial" w:cs="Arial"/>
          <w:bCs/>
          <w:szCs w:val="24"/>
        </w:rPr>
      </w:pPr>
    </w:p>
    <w:tbl>
      <w:tblPr>
        <w:tblStyle w:val="Reatabula"/>
        <w:tblW w:w="0" w:type="auto"/>
        <w:tblLook w:val="04A0" w:firstRow="1" w:lastRow="0" w:firstColumn="1" w:lastColumn="0" w:noHBand="0" w:noVBand="1"/>
      </w:tblPr>
      <w:tblGrid>
        <w:gridCol w:w="9248"/>
      </w:tblGrid>
      <w:tr w:rsidR="004620FD" w:rsidRPr="004620FD" w14:paraId="13D8080A" w14:textId="77777777" w:rsidTr="009C7BE2">
        <w:tc>
          <w:tcPr>
            <w:tcW w:w="10281" w:type="dxa"/>
          </w:tcPr>
          <w:p w14:paraId="646B397B" w14:textId="77777777" w:rsidR="004620FD" w:rsidRPr="004620FD" w:rsidRDefault="004620FD" w:rsidP="009C7BE2">
            <w:pPr>
              <w:contextualSpacing/>
              <w:jc w:val="both"/>
              <w:rPr>
                <w:rFonts w:ascii="Arial" w:eastAsia="Times New Roman" w:hAnsi="Arial" w:cs="Arial"/>
                <w:color w:val="2B292A"/>
                <w:sz w:val="24"/>
                <w:szCs w:val="24"/>
                <w:lang w:eastAsia="lv-LV"/>
              </w:rPr>
            </w:pPr>
            <w:r w:rsidRPr="004620FD">
              <w:rPr>
                <w:rFonts w:ascii="Arial" w:eastAsia="Times New Roman" w:hAnsi="Arial" w:cs="Arial"/>
                <w:color w:val="2B292A"/>
                <w:sz w:val="24"/>
                <w:szCs w:val="24"/>
                <w:lang w:eastAsia="lv-LV"/>
              </w:rPr>
              <w:t xml:space="preserve">Tautsaimniecības izaugsme (IKP pieaugums) nav tas pats, kas labklājības jeb dzīves kvalitātes uzlabošanās. IKP pieaugums parasti tiek uztverts pozitīvi, tomēr skaitlis, kas raksturo šo pieauguma tempu, viens pats nesniedz pilnīgu informāciju. Piemēram, tas, ka IKP palielinājies par 5%, norāda, ka ienākumi tautsaimniecībā kopumā ir auguši, bet nesniedz priekšstatu par to, vai auguši arī </w:t>
            </w:r>
            <w:r w:rsidRPr="004620FD">
              <w:rPr>
                <w:rFonts w:ascii="Arial" w:eastAsia="Times New Roman" w:hAnsi="Arial" w:cs="Arial"/>
                <w:b/>
                <w:bCs/>
                <w:color w:val="2B292A"/>
                <w:sz w:val="24"/>
                <w:szCs w:val="24"/>
                <w:lang w:eastAsia="lv-LV"/>
              </w:rPr>
              <w:t>vidējie ienākumi uz vienu iedzīvotāju</w:t>
            </w:r>
            <w:r w:rsidRPr="004620FD">
              <w:rPr>
                <w:rFonts w:ascii="Arial" w:eastAsia="Times New Roman" w:hAnsi="Arial" w:cs="Arial"/>
                <w:color w:val="2B292A"/>
                <w:sz w:val="24"/>
                <w:szCs w:val="24"/>
                <w:lang w:eastAsia="lv-LV"/>
              </w:rPr>
              <w:t>. Ja IKP palielinājies, bet atbilstoši palielinājies arī iedzīvotāju skaits, materiālā labklājība jeb IKP uz vienu iedzīvotāju nebūs mainījusies. Bet, ja tāds pats IKP palielinājums būs radīts, nemainoties iedzīvotāju skaitam, materiālā labklājība uz vienu iedzīvotāju būs palielinājusies. Tātad, lai spriestu par iedzīvotāju materiālās labklājības pārmaiņām, IKP pieaugums, piemēram, 5%, jāvērtē kopā ar iedzīvotāju skaita pārmaiņām.</w:t>
            </w:r>
          </w:p>
          <w:p w14:paraId="0088FE6D" w14:textId="77777777" w:rsidR="004620FD" w:rsidRPr="004620FD" w:rsidRDefault="004620FD" w:rsidP="009C7BE2">
            <w:pPr>
              <w:contextualSpacing/>
              <w:jc w:val="both"/>
              <w:rPr>
                <w:rFonts w:ascii="Arial" w:eastAsia="Times New Roman" w:hAnsi="Arial" w:cs="Arial"/>
                <w:color w:val="2B292A"/>
                <w:sz w:val="24"/>
                <w:szCs w:val="24"/>
                <w:lang w:eastAsia="lv-LV"/>
              </w:rPr>
            </w:pPr>
          </w:p>
          <w:p w14:paraId="22954DCD" w14:textId="04D458A5" w:rsidR="004620FD" w:rsidRPr="004620FD" w:rsidRDefault="004620FD" w:rsidP="009C7BE2">
            <w:pPr>
              <w:jc w:val="both"/>
              <w:rPr>
                <w:rFonts w:ascii="Arial" w:eastAsia="Times New Roman" w:hAnsi="Arial" w:cs="Arial"/>
                <w:b/>
                <w:bCs/>
                <w:color w:val="2B292A"/>
                <w:sz w:val="24"/>
                <w:szCs w:val="24"/>
                <w:lang w:eastAsia="lv-LV"/>
              </w:rPr>
            </w:pPr>
            <w:r w:rsidRPr="004620FD">
              <w:rPr>
                <w:rFonts w:ascii="Arial" w:eastAsia="Times New Roman" w:hAnsi="Arial" w:cs="Arial"/>
                <w:b/>
                <w:bCs/>
                <w:color w:val="2B292A"/>
                <w:sz w:val="24"/>
                <w:szCs w:val="24"/>
                <w:lang w:eastAsia="lv-LV"/>
              </w:rPr>
              <w:t>Īss ieskats, kā var</w:t>
            </w:r>
            <w:r w:rsidRPr="004620FD">
              <w:rPr>
                <w:rFonts w:ascii="Arial" w:eastAsia="Times New Roman" w:hAnsi="Arial" w:cs="Arial"/>
                <w:color w:val="2B292A"/>
                <w:sz w:val="24"/>
                <w:szCs w:val="24"/>
                <w:lang w:eastAsia="lv-LV"/>
              </w:rPr>
              <w:t xml:space="preserve"> </w:t>
            </w:r>
            <w:r w:rsidRPr="004620FD">
              <w:rPr>
                <w:rFonts w:ascii="Arial" w:eastAsia="Times New Roman" w:hAnsi="Arial" w:cs="Arial"/>
                <w:b/>
                <w:bCs/>
                <w:color w:val="2B292A"/>
                <w:sz w:val="24"/>
                <w:szCs w:val="24"/>
                <w:lang w:eastAsia="lv-LV"/>
              </w:rPr>
              <w:t>analizēt iedzīvotāju skaitu</w:t>
            </w:r>
          </w:p>
          <w:p w14:paraId="54D67FC6" w14:textId="77777777" w:rsidR="004620FD" w:rsidRPr="004620FD" w:rsidRDefault="004620FD" w:rsidP="009C7BE2">
            <w:pPr>
              <w:autoSpaceDE w:val="0"/>
              <w:autoSpaceDN w:val="0"/>
              <w:adjustRightInd w:val="0"/>
              <w:jc w:val="both"/>
              <w:rPr>
                <w:rFonts w:ascii="Arial" w:eastAsia="Times New Roman" w:hAnsi="Arial" w:cs="Arial"/>
                <w:color w:val="2B292A"/>
                <w:sz w:val="24"/>
                <w:szCs w:val="24"/>
                <w:lang w:eastAsia="lv-LV"/>
              </w:rPr>
            </w:pPr>
          </w:p>
          <w:p w14:paraId="43F0AD27" w14:textId="77777777" w:rsidR="004620FD" w:rsidRPr="004620FD" w:rsidRDefault="004620FD" w:rsidP="009C7BE2">
            <w:pPr>
              <w:autoSpaceDE w:val="0"/>
              <w:autoSpaceDN w:val="0"/>
              <w:adjustRightInd w:val="0"/>
              <w:contextualSpacing/>
              <w:jc w:val="both"/>
              <w:rPr>
                <w:rFonts w:ascii="Arial" w:eastAsia="Times New Roman" w:hAnsi="Arial" w:cs="Arial"/>
                <w:color w:val="2B292A"/>
                <w:sz w:val="24"/>
                <w:szCs w:val="24"/>
                <w:lang w:eastAsia="lv-LV"/>
              </w:rPr>
            </w:pPr>
            <w:r w:rsidRPr="004620FD">
              <w:rPr>
                <w:rFonts w:ascii="Arial" w:eastAsia="Times New Roman" w:hAnsi="Arial" w:cs="Arial"/>
                <w:color w:val="2B292A"/>
                <w:sz w:val="24"/>
                <w:szCs w:val="24"/>
                <w:lang w:eastAsia="lv-LV"/>
              </w:rPr>
              <w:t xml:space="preserve">Iedzīvotāju skaits un tā pārmaiņas raksturo valstī </w:t>
            </w:r>
            <w:r w:rsidRPr="004620FD">
              <w:rPr>
                <w:rFonts w:ascii="Arial" w:eastAsia="Times New Roman" w:hAnsi="Arial" w:cs="Arial"/>
                <w:b/>
                <w:bCs/>
                <w:color w:val="2B292A"/>
                <w:sz w:val="24"/>
                <w:szCs w:val="24"/>
                <w:lang w:eastAsia="lv-LV"/>
              </w:rPr>
              <w:t>potenciāli pieejamo darbaspēka daudzumu</w:t>
            </w:r>
            <w:r w:rsidRPr="004620FD">
              <w:rPr>
                <w:rFonts w:ascii="Arial" w:eastAsia="Times New Roman" w:hAnsi="Arial" w:cs="Arial"/>
                <w:color w:val="2B292A"/>
                <w:sz w:val="24"/>
                <w:szCs w:val="24"/>
                <w:lang w:eastAsia="lv-LV"/>
              </w:rPr>
              <w:t xml:space="preserve">. Piemēram, 2019. gada sākumā Latvijā dzīvoja 1934,4 tūkst. iedzīvotāju (par 14,4 tūkst. mazāk nekā pirms gada). Par to liecina Centrālās statistikas pārvaldes dati; sk.: </w:t>
            </w:r>
            <w:hyperlink r:id="rId6">
              <w:r w:rsidRPr="004620FD">
                <w:rPr>
                  <w:rFonts w:ascii="Arial" w:eastAsia="Times New Roman" w:hAnsi="Arial" w:cs="Arial"/>
                  <w:i/>
                  <w:iCs/>
                  <w:color w:val="2B292A"/>
                  <w:sz w:val="24"/>
                  <w:szCs w:val="24"/>
                  <w:lang w:eastAsia="lv-LV"/>
                </w:rPr>
                <w:t>http://data1.csb.gov.lv/pxweb/lv/iedz/iedz_iedzskaits_ikgad/ISG010.px/</w:t>
              </w:r>
            </w:hyperlink>
            <w:r w:rsidRPr="004620FD">
              <w:rPr>
                <w:rFonts w:ascii="Arial" w:eastAsia="Times New Roman" w:hAnsi="Arial" w:cs="Arial"/>
                <w:color w:val="2B292A"/>
                <w:sz w:val="24"/>
                <w:szCs w:val="24"/>
                <w:lang w:eastAsia="lv-LV"/>
              </w:rPr>
              <w:t>.</w:t>
            </w:r>
          </w:p>
          <w:p w14:paraId="032F87A4" w14:textId="77777777" w:rsidR="004620FD" w:rsidRPr="004620FD" w:rsidRDefault="004620FD" w:rsidP="009C7BE2">
            <w:pPr>
              <w:pStyle w:val="Sarakstarindkopa"/>
              <w:ind w:left="0"/>
              <w:rPr>
                <w:rFonts w:ascii="Arial" w:hAnsi="Arial" w:cs="Arial"/>
                <w:color w:val="2B292A"/>
                <w:szCs w:val="24"/>
              </w:rPr>
            </w:pPr>
          </w:p>
          <w:p w14:paraId="3BD86F86" w14:textId="45C8F8AC" w:rsidR="004620FD" w:rsidRDefault="004620FD" w:rsidP="009C7BE2">
            <w:pPr>
              <w:pStyle w:val="Sarakstarindkopa"/>
              <w:ind w:left="0"/>
              <w:rPr>
                <w:rFonts w:ascii="Arial" w:hAnsi="Arial" w:cs="Arial"/>
                <w:color w:val="2B292A"/>
                <w:szCs w:val="24"/>
              </w:rPr>
            </w:pPr>
            <w:r w:rsidRPr="004620FD">
              <w:rPr>
                <w:rFonts w:ascii="Arial" w:hAnsi="Arial" w:cs="Arial"/>
                <w:color w:val="2B292A"/>
                <w:szCs w:val="24"/>
              </w:rPr>
              <w:t>Lai novērtētu iespējamos iedzīvotāju skaita pārmaiņu iemeslus, ir vērts tos aplūkot šādā dalījumā: starptautiskās ilgtermiņa migrācijas (iebraucēju (imigrantu) skaits mīnus izbraucēju (emigrantu) skaits) un dabiskā pieauguma (dzimušo skaits mīnus mirušo skaits) pārmaiņas</w:t>
            </w:r>
            <w:r>
              <w:rPr>
                <w:rFonts w:ascii="Arial" w:hAnsi="Arial" w:cs="Arial"/>
                <w:color w:val="2B292A"/>
                <w:szCs w:val="24"/>
              </w:rPr>
              <w:t>;</w:t>
            </w:r>
          </w:p>
          <w:p w14:paraId="51734338" w14:textId="2BAEDB9D" w:rsidR="004620FD" w:rsidRPr="004620FD" w:rsidRDefault="004620FD" w:rsidP="009C7BE2">
            <w:pPr>
              <w:pStyle w:val="Sarakstarindkopa"/>
              <w:ind w:left="0"/>
              <w:rPr>
                <w:rFonts w:ascii="Arial" w:hAnsi="Arial" w:cs="Arial"/>
                <w:color w:val="2B292A"/>
                <w:sz w:val="22"/>
                <w:szCs w:val="22"/>
              </w:rPr>
            </w:pPr>
            <w:r w:rsidRPr="004620FD">
              <w:rPr>
                <w:rFonts w:ascii="Arial" w:hAnsi="Arial" w:cs="Arial"/>
                <w:color w:val="2B292A"/>
                <w:sz w:val="22"/>
                <w:szCs w:val="22"/>
              </w:rPr>
              <w:t>sk.:</w:t>
            </w:r>
            <w:hyperlink r:id="rId7" w:history="1">
              <w:r w:rsidRPr="004620FD">
                <w:rPr>
                  <w:rStyle w:val="Hipersaite"/>
                  <w:rFonts w:ascii="Arial" w:hAnsi="Arial" w:cs="Arial"/>
                  <w:i/>
                  <w:iCs/>
                  <w:color w:val="0070C0"/>
                  <w:sz w:val="22"/>
                  <w:szCs w:val="22"/>
                </w:rPr>
                <w:t>https://www.csb.gov.lv/sites/default/files/data/Skoleniem/Iedzivotaju_skaita_dinamika.pdf</w:t>
              </w:r>
            </w:hyperlink>
            <w:r w:rsidRPr="004620FD">
              <w:rPr>
                <w:rFonts w:ascii="Arial" w:hAnsi="Arial" w:cs="Arial"/>
                <w:color w:val="2B292A"/>
                <w:sz w:val="22"/>
                <w:szCs w:val="22"/>
              </w:rPr>
              <w:t xml:space="preserve">. </w:t>
            </w:r>
          </w:p>
          <w:p w14:paraId="4DE68E5E" w14:textId="77777777" w:rsidR="004620FD" w:rsidRPr="004620FD" w:rsidRDefault="004620FD" w:rsidP="009C7BE2">
            <w:pPr>
              <w:pStyle w:val="Sarakstarindkopa"/>
              <w:ind w:left="0"/>
              <w:rPr>
                <w:rFonts w:ascii="Arial" w:hAnsi="Arial" w:cs="Arial"/>
                <w:color w:val="2B292A"/>
                <w:szCs w:val="24"/>
              </w:rPr>
            </w:pPr>
          </w:p>
          <w:p w14:paraId="20F08085" w14:textId="77777777" w:rsidR="004620FD" w:rsidRPr="004620FD" w:rsidRDefault="004620FD" w:rsidP="009C7BE2">
            <w:pPr>
              <w:pStyle w:val="Sarakstarindkopa"/>
              <w:ind w:left="0"/>
              <w:rPr>
                <w:rFonts w:ascii="Arial" w:hAnsi="Arial" w:cs="Arial"/>
                <w:color w:val="2B292A"/>
                <w:szCs w:val="24"/>
              </w:rPr>
            </w:pPr>
            <w:r w:rsidRPr="004620FD">
              <w:rPr>
                <w:rFonts w:ascii="Arial" w:hAnsi="Arial" w:cs="Arial"/>
                <w:color w:val="2B292A"/>
                <w:szCs w:val="24"/>
              </w:rPr>
              <w:t>Piemēram, 2018. gadā iedzīvotāju skaits Latvijā starptautiskās migrācijas rezultātā samazinājās par 4,9 tūkst. (zemākais rādītājs pēdējo 20 gadu laikā), bet negatīva dabiskā pieauguma (piedzimušo skaits mīnus nomirušo skaits) rezultātā – divas reizes vairāk (par 9,5 tūkst.).</w:t>
            </w:r>
          </w:p>
          <w:p w14:paraId="457F3606" w14:textId="77777777" w:rsidR="004620FD" w:rsidRPr="004620FD" w:rsidRDefault="004620FD" w:rsidP="009C7BE2">
            <w:pPr>
              <w:pStyle w:val="Sarakstarindkopa"/>
              <w:ind w:left="0"/>
              <w:rPr>
                <w:rFonts w:ascii="Arial" w:hAnsi="Arial" w:cs="Arial"/>
                <w:color w:val="2B292A"/>
                <w:szCs w:val="24"/>
              </w:rPr>
            </w:pPr>
          </w:p>
          <w:p w14:paraId="3C485780" w14:textId="77777777" w:rsidR="004620FD" w:rsidRPr="004620FD" w:rsidRDefault="004620FD" w:rsidP="009C7BE2">
            <w:pPr>
              <w:autoSpaceDE w:val="0"/>
              <w:autoSpaceDN w:val="0"/>
              <w:adjustRightInd w:val="0"/>
              <w:contextualSpacing/>
              <w:jc w:val="both"/>
              <w:rPr>
                <w:rFonts w:ascii="Arial" w:eastAsia="Times New Roman" w:hAnsi="Arial" w:cs="Arial"/>
                <w:color w:val="2B292A"/>
                <w:sz w:val="24"/>
                <w:szCs w:val="24"/>
                <w:lang w:eastAsia="lv-LV"/>
              </w:rPr>
            </w:pPr>
            <w:r w:rsidRPr="004620FD">
              <w:rPr>
                <w:rFonts w:ascii="Arial" w:eastAsia="Times New Roman" w:hAnsi="Arial" w:cs="Arial"/>
                <w:color w:val="2B292A"/>
                <w:sz w:val="24"/>
                <w:szCs w:val="24"/>
                <w:lang w:eastAsia="lv-LV"/>
              </w:rPr>
              <w:t xml:space="preserve">Lai izprastu </w:t>
            </w:r>
            <w:r w:rsidRPr="004620FD">
              <w:rPr>
                <w:rFonts w:ascii="Arial" w:eastAsia="Times New Roman" w:hAnsi="Arial" w:cs="Arial"/>
                <w:b/>
                <w:bCs/>
                <w:color w:val="2B292A"/>
                <w:sz w:val="24"/>
                <w:szCs w:val="24"/>
                <w:lang w:eastAsia="lv-LV"/>
              </w:rPr>
              <w:t>cilvēkresursu kvalitāti veselības aspektā</w:t>
            </w:r>
            <w:r w:rsidRPr="004620FD">
              <w:rPr>
                <w:rFonts w:ascii="Arial" w:eastAsia="Times New Roman" w:hAnsi="Arial" w:cs="Arial"/>
                <w:color w:val="2B292A"/>
                <w:sz w:val="24"/>
                <w:szCs w:val="24"/>
                <w:lang w:eastAsia="lv-LV"/>
              </w:rPr>
              <w:t>, jāaplūko ne tikai paredzamais dzīves ilgumus, bet arī veselīgas dzīves ilgums jeb laiks, kurā cilvēki vidēji ir spējīgi pilnvērtīgi strādāt un baudīt citas aktivitātes un kuru neapgrūtina dažādas veselības likstas. Diemžēl Latvija šā rādītāja ziņā ir pēdējā vietā Eiropas Savienībā. Tas liecina par to, ka nepieciešama būtiska veselības kvalitātes standartu paaugstināšana, lai pilnvērtīgi varētu izmantot Latvijā pieejamos cilvēkresursus.</w:t>
            </w:r>
          </w:p>
          <w:p w14:paraId="3E51A2BD" w14:textId="77777777" w:rsidR="004620FD" w:rsidRPr="004620FD" w:rsidRDefault="004620FD" w:rsidP="009C7BE2">
            <w:pPr>
              <w:pStyle w:val="Paraststmeklis"/>
              <w:spacing w:before="0" w:beforeAutospacing="0" w:after="0" w:afterAutospacing="0"/>
              <w:jc w:val="both"/>
              <w:textAlignment w:val="baseline"/>
              <w:rPr>
                <w:rFonts w:ascii="Arial" w:hAnsi="Arial" w:cs="Arial"/>
                <w:color w:val="2B292A"/>
                <w:lang w:val="lv-LV" w:eastAsia="lv-LV"/>
              </w:rPr>
            </w:pPr>
          </w:p>
          <w:p w14:paraId="5CDD134F" w14:textId="77777777" w:rsidR="004620FD" w:rsidRPr="004620FD" w:rsidRDefault="004620FD" w:rsidP="009C7BE2">
            <w:pPr>
              <w:pStyle w:val="Paraststmeklis"/>
              <w:spacing w:before="0" w:beforeAutospacing="0" w:after="0" w:afterAutospacing="0"/>
              <w:jc w:val="both"/>
              <w:textAlignment w:val="baseline"/>
              <w:rPr>
                <w:rFonts w:ascii="Arial" w:eastAsia="Calibri" w:hAnsi="Arial" w:cs="Arial"/>
                <w:lang w:val="lv-LV"/>
              </w:rPr>
            </w:pPr>
            <w:r w:rsidRPr="004620FD">
              <w:rPr>
                <w:rFonts w:ascii="Arial" w:hAnsi="Arial" w:cs="Arial"/>
                <w:color w:val="2B292A"/>
                <w:lang w:val="lv-LV" w:eastAsia="lv-LV"/>
              </w:rPr>
              <w:t xml:space="preserve">Vienlaikus ir būtiski aplūkot arī </w:t>
            </w:r>
            <w:r w:rsidRPr="004620FD">
              <w:rPr>
                <w:rFonts w:ascii="Arial" w:hAnsi="Arial" w:cs="Arial"/>
                <w:b/>
                <w:bCs/>
                <w:color w:val="2B292A"/>
                <w:lang w:val="lv-LV" w:eastAsia="lv-LV"/>
              </w:rPr>
              <w:t>cilvēkresursu kvalitāti izglītības aspektā</w:t>
            </w:r>
            <w:r w:rsidRPr="004620FD">
              <w:rPr>
                <w:rFonts w:ascii="Arial" w:hAnsi="Arial" w:cs="Arial"/>
                <w:color w:val="2B292A"/>
                <w:lang w:val="lv-LV" w:eastAsia="lv-LV"/>
              </w:rPr>
              <w:t xml:space="preserve">. Latvijā bezdarbnieku ar augstāko un profesionālo izglītību īpatsvars ir daudz zemāks nekā bezdarbnieku ar pamatizglītību īpatsvars. Augstāka izglītība un iegūta kvalifikācija ne tikai dod iespēju saglabāt darbavietu, bet arī saņemt lielāku atalgojumu – nodarbinātie ar augstākās izglītības akadēmisko grādu vidēji Eiropas Savienībā saņem vairāk nekā divas reizes lielāku atalgojumu nekā cilvēki ar vispārējo vidējo izglītību. Darbinieki, kuriem ir kvalitatīva izglītība, ir vairāk pieprasīti darba tirgū, jo iegūtā augstākā vai profesionālā kvalifikācija paaugstina </w:t>
            </w:r>
            <w:proofErr w:type="spellStart"/>
            <w:r w:rsidRPr="004620FD">
              <w:rPr>
                <w:rFonts w:ascii="Arial" w:hAnsi="Arial" w:cs="Arial"/>
                <w:color w:val="2B292A"/>
                <w:lang w:val="lv-LV" w:eastAsia="lv-LV"/>
              </w:rPr>
              <w:t>cilvēkkapitālu</w:t>
            </w:r>
            <w:proofErr w:type="spellEnd"/>
            <w:r w:rsidRPr="004620FD">
              <w:rPr>
                <w:rFonts w:ascii="Arial" w:hAnsi="Arial" w:cs="Arial"/>
                <w:color w:val="2B292A"/>
                <w:lang w:val="lv-LV" w:eastAsia="lv-LV"/>
              </w:rPr>
              <w:t xml:space="preserve"> un līdz ar to – arī darba ražīgumu, jo cilvēks ar augstāku kvalifikāciju vidēji cilvēkstundā var radīt lielāku pievienoto vērtību nekā cilvēks bez tās un attiecīgi saņem arī lielāku atalgojumu; sk.:</w:t>
            </w:r>
            <w:r w:rsidRPr="004620FD">
              <w:rPr>
                <w:rFonts w:ascii="Arial" w:hAnsi="Arial" w:cs="Arial"/>
                <w:color w:val="000000"/>
                <w:shd w:val="clear" w:color="auto" w:fill="FFFFFF"/>
                <w:lang w:val="lv-LV"/>
              </w:rPr>
              <w:t xml:space="preserve"> </w:t>
            </w:r>
            <w:hyperlink r:id="rId8" w:history="1">
              <w:r w:rsidRPr="004620FD">
                <w:rPr>
                  <w:rFonts w:ascii="Arial" w:hAnsi="Arial" w:cs="Arial"/>
                  <w:i/>
                  <w:iCs/>
                  <w:color w:val="0070C0"/>
                  <w:sz w:val="22"/>
                  <w:szCs w:val="22"/>
                  <w:lang w:val="lv-LV"/>
                </w:rPr>
                <w:t>https://www.makroekonomika.lv/kapec-izglitiba-ir-tik-svariga-ekonomikas-attistiba</w:t>
              </w:r>
            </w:hyperlink>
            <w:r w:rsidRPr="004620FD">
              <w:rPr>
                <w:rFonts w:ascii="Arial" w:hAnsi="Arial" w:cs="Arial"/>
                <w:color w:val="0070C0"/>
                <w:sz w:val="22"/>
                <w:szCs w:val="22"/>
                <w:lang w:val="lv-LV"/>
              </w:rPr>
              <w:t>.</w:t>
            </w:r>
          </w:p>
          <w:p w14:paraId="6FB3E2AD" w14:textId="77777777" w:rsidR="004620FD" w:rsidRPr="004620FD" w:rsidRDefault="004620FD" w:rsidP="009C7BE2">
            <w:pPr>
              <w:pStyle w:val="Paraststmeklis"/>
              <w:spacing w:before="0" w:beforeAutospacing="0" w:after="0" w:afterAutospacing="0"/>
              <w:jc w:val="both"/>
              <w:textAlignment w:val="baseline"/>
              <w:rPr>
                <w:rFonts w:ascii="Arial" w:eastAsia="Calibri" w:hAnsi="Arial" w:cs="Arial"/>
                <w:lang w:val="lv-LV"/>
              </w:rPr>
            </w:pPr>
            <w:r w:rsidRPr="004620FD">
              <w:rPr>
                <w:rFonts w:ascii="Arial" w:eastAsia="Calibri" w:hAnsi="Arial" w:cs="Arial"/>
                <w:lang w:val="lv-LV"/>
              </w:rPr>
              <w:t>Turklāt aptaujas rāda, ka cilvēki ar augstāko izglītību vidēji ir apmierinātāki ar dzīvi nekā cilvēki ar pamatizglītību (to nosaka lielāka iespēja atrast darbu un saņemt augstāku atalgojumu).</w:t>
            </w:r>
          </w:p>
          <w:p w14:paraId="630BEEC5" w14:textId="77777777" w:rsidR="004620FD" w:rsidRPr="004620FD" w:rsidRDefault="004620FD" w:rsidP="009C7BE2">
            <w:pPr>
              <w:contextualSpacing/>
              <w:jc w:val="both"/>
              <w:rPr>
                <w:rFonts w:ascii="Arial" w:eastAsia="Times New Roman" w:hAnsi="Arial" w:cs="Arial"/>
                <w:color w:val="2B292A"/>
                <w:sz w:val="24"/>
                <w:szCs w:val="24"/>
                <w:lang w:eastAsia="lv-LV"/>
              </w:rPr>
            </w:pPr>
          </w:p>
          <w:p w14:paraId="5BD3F95F" w14:textId="77777777" w:rsidR="004620FD" w:rsidRPr="004620FD" w:rsidRDefault="004620FD" w:rsidP="009C7BE2">
            <w:pPr>
              <w:contextualSpacing/>
              <w:jc w:val="both"/>
              <w:rPr>
                <w:rFonts w:ascii="Arial" w:eastAsia="Times New Roman" w:hAnsi="Arial" w:cs="Arial"/>
                <w:color w:val="2B292A"/>
                <w:sz w:val="24"/>
                <w:szCs w:val="24"/>
                <w:lang w:eastAsia="lv-LV"/>
              </w:rPr>
            </w:pPr>
            <w:r w:rsidRPr="004620FD">
              <w:rPr>
                <w:rFonts w:ascii="Arial" w:eastAsia="Times New Roman" w:hAnsi="Arial" w:cs="Arial"/>
                <w:color w:val="2B292A"/>
                <w:sz w:val="24"/>
                <w:szCs w:val="24"/>
                <w:lang w:eastAsia="lv-LV"/>
              </w:rPr>
              <w:t xml:space="preserve">– Vai ienākumi auguši visās sabiedrības grupās, vai tie izlīdzinājušies dažādās sabiedrības grupās, t.i., vai mazinājusies </w:t>
            </w:r>
            <w:r w:rsidRPr="004620FD">
              <w:rPr>
                <w:rFonts w:ascii="Arial" w:eastAsia="Times New Roman" w:hAnsi="Arial" w:cs="Arial"/>
                <w:b/>
                <w:bCs/>
                <w:color w:val="2B292A"/>
                <w:sz w:val="24"/>
                <w:szCs w:val="24"/>
                <w:lang w:eastAsia="lv-LV"/>
              </w:rPr>
              <w:t>nevienlīdzība</w:t>
            </w:r>
            <w:r w:rsidRPr="004620FD">
              <w:rPr>
                <w:rFonts w:ascii="Arial" w:eastAsia="Times New Roman" w:hAnsi="Arial" w:cs="Arial"/>
                <w:color w:val="2B292A"/>
                <w:sz w:val="24"/>
                <w:szCs w:val="24"/>
                <w:lang w:eastAsia="lv-LV"/>
              </w:rPr>
              <w:t>?</w:t>
            </w:r>
          </w:p>
          <w:p w14:paraId="6E128A60" w14:textId="77777777" w:rsidR="004620FD" w:rsidRPr="004620FD" w:rsidRDefault="004620FD" w:rsidP="009C7BE2">
            <w:pPr>
              <w:shd w:val="clear" w:color="auto" w:fill="FFFFFF" w:themeFill="background1"/>
              <w:contextualSpacing/>
              <w:jc w:val="both"/>
              <w:rPr>
                <w:rFonts w:ascii="Arial" w:eastAsia="Times New Roman" w:hAnsi="Arial" w:cs="Arial"/>
                <w:color w:val="2B292A"/>
                <w:sz w:val="24"/>
                <w:szCs w:val="24"/>
                <w:lang w:eastAsia="lv-LV"/>
              </w:rPr>
            </w:pPr>
            <w:r w:rsidRPr="004620FD">
              <w:rPr>
                <w:rFonts w:ascii="Arial" w:eastAsia="Times New Roman" w:hAnsi="Arial" w:cs="Arial"/>
                <w:color w:val="2B292A"/>
                <w:sz w:val="24"/>
                <w:szCs w:val="24"/>
                <w:lang w:eastAsia="lv-LV"/>
              </w:rPr>
              <w:t xml:space="preserve">– Vai ienākumu pieaugums nodrošina arī </w:t>
            </w:r>
            <w:r w:rsidRPr="004620FD">
              <w:rPr>
                <w:rFonts w:ascii="Arial" w:eastAsia="Times New Roman" w:hAnsi="Arial" w:cs="Arial"/>
                <w:b/>
                <w:bCs/>
                <w:color w:val="2B292A"/>
                <w:sz w:val="24"/>
                <w:szCs w:val="24"/>
                <w:lang w:eastAsia="lv-LV"/>
              </w:rPr>
              <w:t>uzņēmējdarbībai labvēlīgāku vidi</w:t>
            </w:r>
            <w:r w:rsidRPr="004620FD">
              <w:rPr>
                <w:rFonts w:ascii="Arial" w:eastAsia="Times New Roman" w:hAnsi="Arial" w:cs="Arial"/>
                <w:color w:val="2B292A"/>
                <w:sz w:val="24"/>
                <w:szCs w:val="24"/>
                <w:lang w:eastAsia="lv-LV"/>
              </w:rPr>
              <w:t xml:space="preserve"> – vai daļa no ienākumiem tiek novirzīta investīcijām uzņēmējdarbības vides uzlabošanai, piemēram, infrastruktūras attīstībai, kas ļautu saglabāt tautsaimniecības izaugsmi nākotnē? </w:t>
            </w:r>
          </w:p>
          <w:p w14:paraId="58536F0C" w14:textId="77777777" w:rsidR="004620FD" w:rsidRPr="004620FD" w:rsidRDefault="004620FD" w:rsidP="009C7BE2">
            <w:pPr>
              <w:shd w:val="clear" w:color="auto" w:fill="FFFFFF" w:themeFill="background1"/>
              <w:contextualSpacing/>
              <w:jc w:val="both"/>
              <w:rPr>
                <w:rFonts w:ascii="Arial" w:hAnsi="Arial" w:cs="Arial"/>
                <w:b/>
                <w:bCs/>
                <w:sz w:val="24"/>
                <w:szCs w:val="24"/>
              </w:rPr>
            </w:pPr>
            <w:r w:rsidRPr="004620FD">
              <w:rPr>
                <w:rFonts w:ascii="Arial" w:eastAsia="Times New Roman" w:hAnsi="Arial" w:cs="Arial"/>
                <w:color w:val="2B292A"/>
                <w:sz w:val="24"/>
                <w:szCs w:val="24"/>
                <w:lang w:eastAsia="lv-LV"/>
              </w:rPr>
              <w:t xml:space="preserve">– Vai ienākumu, t.i., materiālās labklājības, pieaugums nodrošina arī </w:t>
            </w:r>
            <w:r w:rsidRPr="004620FD">
              <w:rPr>
                <w:rFonts w:ascii="Arial" w:eastAsia="Times New Roman" w:hAnsi="Arial" w:cs="Arial"/>
                <w:b/>
                <w:bCs/>
                <w:color w:val="2B292A"/>
                <w:sz w:val="24"/>
                <w:szCs w:val="24"/>
                <w:lang w:eastAsia="lv-LV"/>
              </w:rPr>
              <w:t>labklājības jeb dzīves kvalitātes paaugstināšanos</w:t>
            </w:r>
            <w:r w:rsidRPr="004620FD">
              <w:rPr>
                <w:rFonts w:ascii="Arial" w:eastAsia="Times New Roman" w:hAnsi="Arial" w:cs="Arial"/>
                <w:color w:val="2B292A"/>
                <w:sz w:val="24"/>
                <w:szCs w:val="24"/>
                <w:lang w:eastAsia="lv-LV"/>
              </w:rPr>
              <w:t xml:space="preserve"> (izglītības paaugstināšanos, vides piesārņojuma situācijas uzlabošanos, veselības aprūpes, sociālās integrācijas, vēlmes palikt savā valstī, apmierinātības ar dzīvi tajā paaugstināšanos)?</w:t>
            </w:r>
          </w:p>
        </w:tc>
      </w:tr>
    </w:tbl>
    <w:p w14:paraId="61B91197" w14:textId="77777777" w:rsidR="004620FD" w:rsidRPr="004620FD" w:rsidRDefault="004620FD" w:rsidP="004620FD">
      <w:pPr>
        <w:pStyle w:val="Sarakstarindkopa"/>
        <w:autoSpaceDE w:val="0"/>
        <w:autoSpaceDN w:val="0"/>
        <w:adjustRightInd w:val="0"/>
        <w:ind w:left="0"/>
        <w:rPr>
          <w:rFonts w:ascii="Arial" w:hAnsi="Arial" w:cs="Arial"/>
          <w:szCs w:val="24"/>
        </w:rPr>
      </w:pPr>
    </w:p>
    <w:p w14:paraId="13E4C345" w14:textId="529ED78A" w:rsidR="004620FD" w:rsidRPr="004620FD" w:rsidRDefault="004620FD" w:rsidP="004620FD">
      <w:pPr>
        <w:spacing w:after="0" w:line="240" w:lineRule="auto"/>
        <w:jc w:val="both"/>
        <w:rPr>
          <w:rFonts w:ascii="Arial" w:hAnsi="Arial" w:cs="Arial"/>
          <w:sz w:val="24"/>
          <w:szCs w:val="24"/>
        </w:rPr>
      </w:pPr>
      <w:r w:rsidRPr="004620FD">
        <w:rPr>
          <w:rFonts w:ascii="Arial" w:hAnsi="Arial" w:cs="Arial"/>
          <w:sz w:val="24"/>
          <w:szCs w:val="24"/>
        </w:rPr>
        <w:t xml:space="preserve">1. Kas notiek ar IKP uz vienu iedzīvotāju, ja IKP nav mainījies, bet iedzīvotāju skaits samazinājies? Tas ir </w:t>
      </w:r>
      <w:r w:rsidRPr="004620FD">
        <w:rPr>
          <w:rFonts w:ascii="Arial" w:hAnsi="Arial" w:cs="Arial"/>
          <w:sz w:val="24"/>
          <w:szCs w:val="24"/>
        </w:rPr>
        <w:t>______________________</w:t>
      </w:r>
      <w:r w:rsidRPr="004620FD">
        <w:rPr>
          <w:rFonts w:ascii="Arial" w:hAnsi="Arial" w:cs="Arial"/>
          <w:sz w:val="24"/>
          <w:szCs w:val="24"/>
        </w:rPr>
        <w:t>. (1 punkts)</w:t>
      </w:r>
    </w:p>
    <w:p w14:paraId="4A23F9BE" w14:textId="17A60ED1" w:rsidR="004620FD" w:rsidRPr="004620FD" w:rsidRDefault="004620FD" w:rsidP="004620FD">
      <w:pPr>
        <w:spacing w:after="0" w:line="240" w:lineRule="auto"/>
        <w:jc w:val="both"/>
        <w:rPr>
          <w:rFonts w:ascii="Arial" w:hAnsi="Arial" w:cs="Arial"/>
          <w:sz w:val="24"/>
          <w:szCs w:val="24"/>
        </w:rPr>
      </w:pPr>
      <w:r w:rsidRPr="004620FD">
        <w:rPr>
          <w:rFonts w:ascii="Arial" w:hAnsi="Arial" w:cs="Arial"/>
          <w:sz w:val="24"/>
          <w:szCs w:val="24"/>
        </w:rPr>
        <w:t xml:space="preserve">2. Kas notiek ar IKP uz vienu iedzīvotāju, ja IKP nav mainījies, bet iedzīvotāju skaits palielinājies? Tas ir </w:t>
      </w:r>
      <w:r w:rsidRPr="004620FD">
        <w:rPr>
          <w:rFonts w:ascii="Arial" w:hAnsi="Arial" w:cs="Arial"/>
          <w:sz w:val="24"/>
          <w:szCs w:val="24"/>
        </w:rPr>
        <w:t>_______________________</w:t>
      </w:r>
      <w:r w:rsidRPr="004620FD">
        <w:rPr>
          <w:rFonts w:ascii="Arial" w:hAnsi="Arial" w:cs="Arial"/>
          <w:sz w:val="24"/>
          <w:szCs w:val="24"/>
        </w:rPr>
        <w:t>. (1 punkts)</w:t>
      </w:r>
    </w:p>
    <w:p w14:paraId="6130D965" w14:textId="77777777" w:rsidR="004620FD" w:rsidRPr="004620FD" w:rsidRDefault="004620FD" w:rsidP="004620FD">
      <w:pPr>
        <w:spacing w:after="0" w:line="240" w:lineRule="auto"/>
        <w:jc w:val="both"/>
        <w:rPr>
          <w:rFonts w:ascii="Arial" w:hAnsi="Arial" w:cs="Arial"/>
          <w:sz w:val="24"/>
          <w:szCs w:val="24"/>
        </w:rPr>
      </w:pPr>
    </w:p>
    <w:p w14:paraId="2A10DCB2" w14:textId="77777777" w:rsidR="004620FD" w:rsidRPr="004620FD" w:rsidRDefault="004620FD" w:rsidP="004620FD">
      <w:pPr>
        <w:spacing w:after="0" w:line="240" w:lineRule="auto"/>
        <w:jc w:val="both"/>
        <w:rPr>
          <w:rFonts w:ascii="Arial" w:hAnsi="Arial" w:cs="Arial"/>
          <w:sz w:val="24"/>
          <w:szCs w:val="24"/>
        </w:rPr>
      </w:pPr>
      <w:r w:rsidRPr="004620FD">
        <w:rPr>
          <w:rFonts w:ascii="Arial" w:hAnsi="Arial" w:cs="Arial"/>
          <w:sz w:val="24"/>
          <w:szCs w:val="24"/>
        </w:rPr>
        <w:t>3. Izanalizē iedzīvotāju starptautiskās migrācijas ietekmi uz A valsts iedzīvotāju labklājību, ja tās iedzīvotāju neto migrācijas līmenis ir negatīvs, bet IKP nav mainījies! (3 punkti)</w:t>
      </w:r>
    </w:p>
    <w:p w14:paraId="3575E118" w14:textId="77777777" w:rsidR="004620FD" w:rsidRDefault="004620FD" w:rsidP="004620FD">
      <w:pPr>
        <w:spacing w:after="0" w:line="240" w:lineRule="auto"/>
        <w:jc w:val="both"/>
        <w:rPr>
          <w:rFonts w:ascii="Arial" w:hAnsi="Arial" w:cs="Arial"/>
          <w:color w:val="FF0000"/>
          <w:sz w:val="24"/>
          <w:szCs w:val="24"/>
        </w:rPr>
      </w:pPr>
    </w:p>
    <w:p w14:paraId="3D093CC8" w14:textId="77777777" w:rsidR="004620FD" w:rsidRDefault="004620FD" w:rsidP="004620FD">
      <w:pPr>
        <w:spacing w:after="0" w:line="240" w:lineRule="auto"/>
        <w:jc w:val="both"/>
        <w:rPr>
          <w:rFonts w:ascii="Arial" w:hAnsi="Arial" w:cs="Arial"/>
          <w:color w:val="FF0000"/>
          <w:sz w:val="24"/>
          <w:szCs w:val="24"/>
        </w:rPr>
      </w:pPr>
    </w:p>
    <w:p w14:paraId="5671BF4A" w14:textId="77777777" w:rsidR="004620FD" w:rsidRDefault="004620FD" w:rsidP="004620FD">
      <w:pPr>
        <w:spacing w:after="0" w:line="240" w:lineRule="auto"/>
        <w:jc w:val="both"/>
        <w:rPr>
          <w:rFonts w:ascii="Arial" w:hAnsi="Arial" w:cs="Arial"/>
          <w:color w:val="FF0000"/>
          <w:sz w:val="24"/>
          <w:szCs w:val="24"/>
        </w:rPr>
      </w:pPr>
    </w:p>
    <w:p w14:paraId="5E02CCE4" w14:textId="77777777" w:rsidR="004620FD" w:rsidRDefault="004620FD" w:rsidP="004620FD">
      <w:pPr>
        <w:spacing w:after="0" w:line="240" w:lineRule="auto"/>
        <w:jc w:val="both"/>
        <w:rPr>
          <w:rFonts w:ascii="Arial" w:hAnsi="Arial" w:cs="Arial"/>
          <w:color w:val="FF0000"/>
          <w:sz w:val="24"/>
          <w:szCs w:val="24"/>
        </w:rPr>
      </w:pPr>
    </w:p>
    <w:p w14:paraId="0C280035" w14:textId="77777777" w:rsidR="004620FD" w:rsidRDefault="004620FD" w:rsidP="004620FD">
      <w:pPr>
        <w:spacing w:after="0" w:line="240" w:lineRule="auto"/>
        <w:jc w:val="both"/>
        <w:rPr>
          <w:rFonts w:ascii="Arial" w:hAnsi="Arial" w:cs="Arial"/>
          <w:color w:val="FF0000"/>
          <w:sz w:val="24"/>
          <w:szCs w:val="24"/>
        </w:rPr>
      </w:pPr>
    </w:p>
    <w:p w14:paraId="17961285" w14:textId="77777777" w:rsidR="004620FD" w:rsidRDefault="004620FD" w:rsidP="004620FD">
      <w:pPr>
        <w:spacing w:after="0" w:line="240" w:lineRule="auto"/>
        <w:jc w:val="both"/>
        <w:rPr>
          <w:rFonts w:ascii="Arial" w:hAnsi="Arial" w:cs="Arial"/>
          <w:color w:val="FF0000"/>
          <w:sz w:val="24"/>
          <w:szCs w:val="24"/>
        </w:rPr>
      </w:pPr>
    </w:p>
    <w:p w14:paraId="0CE45298" w14:textId="77777777" w:rsidR="004620FD" w:rsidRDefault="004620FD" w:rsidP="004620FD">
      <w:pPr>
        <w:spacing w:after="0" w:line="240" w:lineRule="auto"/>
        <w:jc w:val="both"/>
        <w:rPr>
          <w:rFonts w:ascii="Arial" w:hAnsi="Arial" w:cs="Arial"/>
          <w:color w:val="FF0000"/>
          <w:sz w:val="24"/>
          <w:szCs w:val="24"/>
        </w:rPr>
      </w:pPr>
    </w:p>
    <w:p w14:paraId="17F83DB8" w14:textId="77777777" w:rsidR="004620FD" w:rsidRDefault="004620FD" w:rsidP="004620FD">
      <w:pPr>
        <w:spacing w:after="0" w:line="240" w:lineRule="auto"/>
        <w:jc w:val="both"/>
        <w:rPr>
          <w:rFonts w:ascii="Arial" w:hAnsi="Arial" w:cs="Arial"/>
          <w:color w:val="FF0000"/>
          <w:sz w:val="24"/>
          <w:szCs w:val="24"/>
        </w:rPr>
      </w:pPr>
    </w:p>
    <w:p w14:paraId="4AB64178" w14:textId="2E413E1A" w:rsidR="004620FD" w:rsidRPr="004620FD" w:rsidRDefault="004620FD" w:rsidP="004620FD">
      <w:pPr>
        <w:spacing w:after="0" w:line="240" w:lineRule="auto"/>
        <w:jc w:val="both"/>
        <w:rPr>
          <w:rFonts w:ascii="Arial" w:hAnsi="Arial" w:cs="Arial"/>
          <w:sz w:val="24"/>
          <w:szCs w:val="24"/>
        </w:rPr>
      </w:pPr>
      <w:r w:rsidRPr="004620FD">
        <w:rPr>
          <w:rFonts w:ascii="Arial" w:hAnsi="Arial" w:cs="Arial"/>
        </w:rPr>
        <w:t xml:space="preserve">4. </w:t>
      </w:r>
      <w:r w:rsidRPr="004620FD">
        <w:rPr>
          <w:rFonts w:ascii="Arial" w:hAnsi="Arial" w:cs="Arial"/>
          <w:sz w:val="24"/>
          <w:szCs w:val="24"/>
        </w:rPr>
        <w:t>Izanalizē</w:t>
      </w:r>
      <w:r w:rsidRPr="004620FD">
        <w:rPr>
          <w:rFonts w:ascii="Arial" w:hAnsi="Arial" w:cs="Arial"/>
        </w:rPr>
        <w:t xml:space="preserve"> </w:t>
      </w:r>
      <w:r w:rsidRPr="004620FD">
        <w:rPr>
          <w:rFonts w:ascii="Arial" w:hAnsi="Arial" w:cs="Arial"/>
          <w:sz w:val="24"/>
          <w:szCs w:val="24"/>
        </w:rPr>
        <w:t>iedzīvotāju starptautiskās migrācijas ietekmi uz B valsts iedzīvotāju labklājību, ja tās iedzīvotāju neto migrācijas līmenis ir pozitīvs, bet IKP saglabājas nemainīgs! (3 punkti)</w:t>
      </w:r>
    </w:p>
    <w:p w14:paraId="3EC5A0D7" w14:textId="7E36F98B" w:rsidR="004620FD" w:rsidRDefault="004620FD" w:rsidP="004620FD">
      <w:pPr>
        <w:spacing w:after="0" w:line="240" w:lineRule="auto"/>
        <w:jc w:val="both"/>
        <w:rPr>
          <w:rFonts w:ascii="Arial" w:hAnsi="Arial" w:cs="Arial"/>
          <w:color w:val="FF0000"/>
          <w:sz w:val="24"/>
          <w:szCs w:val="24"/>
        </w:rPr>
      </w:pPr>
    </w:p>
    <w:p w14:paraId="1E104608" w14:textId="715B502F" w:rsidR="004620FD" w:rsidRDefault="004620FD" w:rsidP="004620FD">
      <w:pPr>
        <w:spacing w:after="0" w:line="240" w:lineRule="auto"/>
        <w:jc w:val="both"/>
        <w:rPr>
          <w:rFonts w:ascii="Arial" w:hAnsi="Arial" w:cs="Arial"/>
          <w:color w:val="FF0000"/>
          <w:sz w:val="24"/>
          <w:szCs w:val="24"/>
        </w:rPr>
      </w:pPr>
    </w:p>
    <w:p w14:paraId="57200C84" w14:textId="038CFE19" w:rsidR="004620FD" w:rsidRDefault="004620FD" w:rsidP="004620FD">
      <w:pPr>
        <w:spacing w:after="0" w:line="240" w:lineRule="auto"/>
        <w:jc w:val="both"/>
        <w:rPr>
          <w:rFonts w:ascii="Arial" w:hAnsi="Arial" w:cs="Arial"/>
          <w:color w:val="FF0000"/>
          <w:sz w:val="24"/>
          <w:szCs w:val="24"/>
        </w:rPr>
      </w:pPr>
    </w:p>
    <w:p w14:paraId="52FCA5E6" w14:textId="417557D3" w:rsidR="004620FD" w:rsidRDefault="004620FD" w:rsidP="004620FD">
      <w:pPr>
        <w:spacing w:after="0" w:line="240" w:lineRule="auto"/>
        <w:jc w:val="both"/>
        <w:rPr>
          <w:rFonts w:ascii="Arial" w:hAnsi="Arial" w:cs="Arial"/>
          <w:color w:val="FF0000"/>
          <w:sz w:val="24"/>
          <w:szCs w:val="24"/>
        </w:rPr>
      </w:pPr>
    </w:p>
    <w:p w14:paraId="4DB70960" w14:textId="01EF8BE9" w:rsidR="004620FD" w:rsidRDefault="004620FD" w:rsidP="004620FD">
      <w:pPr>
        <w:spacing w:after="0" w:line="240" w:lineRule="auto"/>
        <w:jc w:val="both"/>
        <w:rPr>
          <w:rFonts w:ascii="Arial" w:hAnsi="Arial" w:cs="Arial"/>
          <w:color w:val="FF0000"/>
          <w:sz w:val="24"/>
          <w:szCs w:val="24"/>
        </w:rPr>
      </w:pPr>
    </w:p>
    <w:p w14:paraId="69536E3D" w14:textId="012873FB" w:rsidR="004620FD" w:rsidRDefault="004620FD" w:rsidP="004620FD">
      <w:pPr>
        <w:spacing w:after="0" w:line="240" w:lineRule="auto"/>
        <w:jc w:val="both"/>
        <w:rPr>
          <w:rFonts w:ascii="Arial" w:hAnsi="Arial" w:cs="Arial"/>
          <w:color w:val="FF0000"/>
          <w:sz w:val="24"/>
          <w:szCs w:val="24"/>
        </w:rPr>
      </w:pPr>
    </w:p>
    <w:p w14:paraId="07F6096D" w14:textId="77777777" w:rsidR="004620FD" w:rsidRDefault="004620FD" w:rsidP="004620FD">
      <w:pPr>
        <w:spacing w:after="0" w:line="240" w:lineRule="auto"/>
        <w:jc w:val="both"/>
        <w:rPr>
          <w:rFonts w:ascii="Arial" w:hAnsi="Arial" w:cs="Arial"/>
          <w:color w:val="FF0000"/>
          <w:sz w:val="24"/>
          <w:szCs w:val="24"/>
        </w:rPr>
      </w:pPr>
    </w:p>
    <w:p w14:paraId="16D9631C" w14:textId="2CBBDC20" w:rsidR="004620FD" w:rsidRDefault="004620FD" w:rsidP="004620FD">
      <w:pPr>
        <w:spacing w:after="0" w:line="240" w:lineRule="auto"/>
        <w:jc w:val="both"/>
        <w:rPr>
          <w:rFonts w:ascii="Arial" w:hAnsi="Arial" w:cs="Arial"/>
          <w:color w:val="FF0000"/>
          <w:sz w:val="24"/>
          <w:szCs w:val="24"/>
        </w:rPr>
      </w:pPr>
    </w:p>
    <w:p w14:paraId="3DF87EE2" w14:textId="77777777" w:rsidR="004620FD" w:rsidRPr="004620FD" w:rsidRDefault="004620FD" w:rsidP="004620FD">
      <w:pPr>
        <w:spacing w:after="0" w:line="240" w:lineRule="auto"/>
        <w:jc w:val="both"/>
        <w:rPr>
          <w:rFonts w:ascii="Arial" w:hAnsi="Arial" w:cs="Arial"/>
          <w:sz w:val="24"/>
          <w:szCs w:val="24"/>
        </w:rPr>
      </w:pPr>
    </w:p>
    <w:p w14:paraId="3EB83F6F" w14:textId="77777777" w:rsidR="004620FD" w:rsidRPr="004620FD" w:rsidRDefault="004620FD" w:rsidP="004620FD">
      <w:pPr>
        <w:spacing w:after="0" w:line="240" w:lineRule="auto"/>
        <w:jc w:val="both"/>
        <w:rPr>
          <w:rFonts w:ascii="Arial" w:hAnsi="Arial" w:cs="Arial"/>
          <w:sz w:val="24"/>
          <w:szCs w:val="24"/>
        </w:rPr>
      </w:pPr>
      <w:r w:rsidRPr="004620FD">
        <w:rPr>
          <w:rFonts w:ascii="Arial" w:hAnsi="Arial" w:cs="Arial"/>
          <w:sz w:val="24"/>
          <w:szCs w:val="24"/>
        </w:rPr>
        <w:t>5. Kā starptautiskā migrācija ietekmē pasaules ienākumu līmeni un jauno tehnoloģiju ieviešanu? (3 punkti)</w:t>
      </w:r>
    </w:p>
    <w:p w14:paraId="3AFA831B" w14:textId="77777777" w:rsidR="004620FD" w:rsidRPr="00C06E41" w:rsidRDefault="004620FD" w:rsidP="00C06E41">
      <w:pPr>
        <w:spacing w:after="120" w:line="276" w:lineRule="auto"/>
        <w:jc w:val="center"/>
        <w:rPr>
          <w:rFonts w:ascii="Arial" w:hAnsi="Arial" w:cs="Arial"/>
          <w:b/>
          <w:bCs/>
          <w:sz w:val="28"/>
          <w:szCs w:val="28"/>
        </w:rPr>
      </w:pPr>
    </w:p>
    <w:sectPr w:rsidR="004620FD" w:rsidRPr="00C06E41" w:rsidSect="00755F42">
      <w:headerReference w:type="default" r:id="rId9"/>
      <w:footerReference w:type="default" r:id="rId10"/>
      <w:pgSz w:w="11906" w:h="16838"/>
      <w:pgMar w:top="709" w:right="851" w:bottom="284" w:left="179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2BC7D" w14:textId="77777777" w:rsidR="0065440E" w:rsidRDefault="0065440E" w:rsidP="0065440E">
      <w:pPr>
        <w:spacing w:after="0" w:line="240" w:lineRule="auto"/>
      </w:pPr>
      <w:r>
        <w:separator/>
      </w:r>
    </w:p>
  </w:endnote>
  <w:endnote w:type="continuationSeparator" w:id="0">
    <w:p w14:paraId="1CF1E1F5" w14:textId="77777777" w:rsidR="0065440E" w:rsidRDefault="0065440E" w:rsidP="00654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280790"/>
      <w:docPartObj>
        <w:docPartGallery w:val="Page Numbers (Bottom of Page)"/>
        <w:docPartUnique/>
      </w:docPartObj>
    </w:sdtPr>
    <w:sdtEndPr>
      <w:rPr>
        <w:rFonts w:ascii="Arial" w:hAnsi="Arial" w:cs="Arial"/>
        <w:sz w:val="16"/>
        <w:szCs w:val="16"/>
      </w:rPr>
    </w:sdtEndPr>
    <w:sdtContent>
      <w:p w14:paraId="33BCE7A8" w14:textId="0C1DA56B" w:rsidR="003468F6" w:rsidRPr="003468F6" w:rsidRDefault="003468F6">
        <w:pPr>
          <w:pStyle w:val="Kjene"/>
          <w:jc w:val="right"/>
          <w:rPr>
            <w:rFonts w:ascii="Arial" w:hAnsi="Arial" w:cs="Arial"/>
            <w:sz w:val="16"/>
            <w:szCs w:val="16"/>
          </w:rPr>
        </w:pPr>
        <w:r w:rsidRPr="003468F6">
          <w:rPr>
            <w:rFonts w:ascii="Arial" w:hAnsi="Arial" w:cs="Arial"/>
            <w:sz w:val="16"/>
            <w:szCs w:val="16"/>
          </w:rPr>
          <w:fldChar w:fldCharType="begin"/>
        </w:r>
        <w:r w:rsidRPr="003468F6">
          <w:rPr>
            <w:rFonts w:ascii="Arial" w:hAnsi="Arial" w:cs="Arial"/>
            <w:sz w:val="16"/>
            <w:szCs w:val="16"/>
          </w:rPr>
          <w:instrText>PAGE   \* MERGEFORMAT</w:instrText>
        </w:r>
        <w:r w:rsidRPr="003468F6">
          <w:rPr>
            <w:rFonts w:ascii="Arial" w:hAnsi="Arial" w:cs="Arial"/>
            <w:sz w:val="16"/>
            <w:szCs w:val="16"/>
          </w:rPr>
          <w:fldChar w:fldCharType="separate"/>
        </w:r>
        <w:r w:rsidRPr="003468F6">
          <w:rPr>
            <w:rFonts w:ascii="Arial" w:hAnsi="Arial" w:cs="Arial"/>
            <w:sz w:val="16"/>
            <w:szCs w:val="16"/>
          </w:rPr>
          <w:t>2</w:t>
        </w:r>
        <w:r w:rsidRPr="003468F6">
          <w:rPr>
            <w:rFonts w:ascii="Arial" w:hAnsi="Arial" w:cs="Arial"/>
            <w:sz w:val="16"/>
            <w:szCs w:val="16"/>
          </w:rPr>
          <w:fldChar w:fldCharType="end"/>
        </w:r>
      </w:p>
    </w:sdtContent>
  </w:sdt>
  <w:p w14:paraId="093FEEC8" w14:textId="77777777" w:rsidR="003468F6" w:rsidRDefault="003468F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26EA7" w14:textId="77777777" w:rsidR="0065440E" w:rsidRDefault="0065440E" w:rsidP="0065440E">
      <w:pPr>
        <w:spacing w:after="0" w:line="240" w:lineRule="auto"/>
      </w:pPr>
      <w:r>
        <w:separator/>
      </w:r>
    </w:p>
  </w:footnote>
  <w:footnote w:type="continuationSeparator" w:id="0">
    <w:p w14:paraId="00C043E0" w14:textId="77777777" w:rsidR="0065440E" w:rsidRDefault="0065440E" w:rsidP="00654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D0DC5" w14:textId="77777777" w:rsidR="0065440E" w:rsidRPr="000879B2" w:rsidRDefault="0065440E" w:rsidP="0065440E">
    <w:pPr>
      <w:pStyle w:val="004Heders"/>
    </w:pPr>
    <w:r w:rsidRPr="000879B2">
      <w:rPr>
        <w:b/>
        <w:bCs/>
        <w:noProof/>
      </w:rPr>
      <w:drawing>
        <wp:anchor distT="0" distB="0" distL="114300" distR="114300" simplePos="0" relativeHeight="251659264" behindDoc="0" locked="0" layoutInCell="1" allowOverlap="1" wp14:anchorId="582BC355" wp14:editId="21F189BE">
          <wp:simplePos x="0" y="0"/>
          <wp:positionH relativeFrom="column">
            <wp:posOffset>11430</wp:posOffset>
          </wp:positionH>
          <wp:positionV relativeFrom="paragraph">
            <wp:posOffset>-1563</wp:posOffset>
          </wp:positionV>
          <wp:extent cx="1374140" cy="291465"/>
          <wp:effectExtent l="0" t="0" r="0" b="635"/>
          <wp:wrapSquare wrapText="bothSides"/>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140" cy="291465"/>
                  </a:xfrm>
                  <a:prstGeom prst="rect">
                    <a:avLst/>
                  </a:prstGeom>
                </pic:spPr>
              </pic:pic>
            </a:graphicData>
          </a:graphic>
          <wp14:sizeRelH relativeFrom="page">
            <wp14:pctWidth>0</wp14:pctWidth>
          </wp14:sizeRelH>
          <wp14:sizeRelV relativeFrom="page">
            <wp14:pctHeight>0</wp14:pctHeight>
          </wp14:sizeRelV>
        </wp:anchor>
      </w:drawing>
    </w:r>
    <w:r>
      <w:t>7</w:t>
    </w:r>
    <w:r w:rsidRPr="000879B2">
      <w:t>.</w:t>
    </w:r>
    <w:r>
      <w:t>–9</w:t>
    </w:r>
    <w:r w:rsidRPr="000879B2">
      <w:t>. klase</w:t>
    </w:r>
  </w:p>
  <w:p w14:paraId="4C24EC92" w14:textId="668E7A1F" w:rsidR="0065440E" w:rsidRDefault="00472DEC" w:rsidP="0065440E">
    <w:pPr>
      <w:pStyle w:val="004Heders"/>
    </w:pPr>
    <w:r>
      <w:t>Labklājība</w:t>
    </w:r>
  </w:p>
  <w:p w14:paraId="6205EA9F" w14:textId="54D9DC7F" w:rsidR="0065440E" w:rsidRDefault="0065440E" w:rsidP="0065440E">
    <w:pPr>
      <w:pStyle w:val="004Heders"/>
    </w:pPr>
    <w:r w:rsidRPr="0065440E">
      <w:t>Pārbaudes darbs</w:t>
    </w:r>
    <w:r w:rsidR="0057593C">
      <w:t xml:space="preserve"> – </w:t>
    </w:r>
    <w:r w:rsidR="004620FD">
      <w:t>papilduzdevums</w:t>
    </w:r>
    <w:r w:rsidRPr="00C56EF5">
      <w:t xml:space="preserve"> </w:t>
    </w:r>
  </w:p>
  <w:p w14:paraId="2392722F" w14:textId="77777777" w:rsidR="0065440E" w:rsidRDefault="0065440E">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56"/>
    <w:rsid w:val="0000404A"/>
    <w:rsid w:val="0002033A"/>
    <w:rsid w:val="00081885"/>
    <w:rsid w:val="001944EA"/>
    <w:rsid w:val="00222356"/>
    <w:rsid w:val="00276C4C"/>
    <w:rsid w:val="003468F6"/>
    <w:rsid w:val="004620FD"/>
    <w:rsid w:val="00472DEC"/>
    <w:rsid w:val="004B67C1"/>
    <w:rsid w:val="004C47EB"/>
    <w:rsid w:val="004C5A21"/>
    <w:rsid w:val="004D25B2"/>
    <w:rsid w:val="0057593C"/>
    <w:rsid w:val="00625DAC"/>
    <w:rsid w:val="0065440E"/>
    <w:rsid w:val="00755F42"/>
    <w:rsid w:val="00781050"/>
    <w:rsid w:val="007D50F6"/>
    <w:rsid w:val="007F1A8E"/>
    <w:rsid w:val="00876F6B"/>
    <w:rsid w:val="00AD43C3"/>
    <w:rsid w:val="00B63815"/>
    <w:rsid w:val="00C06E41"/>
    <w:rsid w:val="00C73A63"/>
    <w:rsid w:val="00CE3E38"/>
    <w:rsid w:val="00D3407B"/>
    <w:rsid w:val="00DC06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B1E3E9"/>
  <w15:chartTrackingRefBased/>
  <w15:docId w15:val="{43F11829-1A84-44AF-BC1B-428F5ED7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F1A8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22356"/>
    <w:pPr>
      <w:spacing w:after="0" w:line="240" w:lineRule="auto"/>
      <w:ind w:left="720"/>
      <w:contextualSpacing/>
      <w:jc w:val="both"/>
    </w:pPr>
    <w:rPr>
      <w:rFonts w:ascii="Times New Roman" w:eastAsia="Times New Roman" w:hAnsi="Times New Roman" w:cs="Times New Roman"/>
      <w:sz w:val="24"/>
      <w:szCs w:val="20"/>
      <w:lang w:eastAsia="lv-LV"/>
    </w:rPr>
  </w:style>
  <w:style w:type="table" w:styleId="Reatabula">
    <w:name w:val="Table Grid"/>
    <w:basedOn w:val="Parastatabula"/>
    <w:uiPriority w:val="39"/>
    <w:rsid w:val="00194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5440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440E"/>
  </w:style>
  <w:style w:type="paragraph" w:styleId="Kjene">
    <w:name w:val="footer"/>
    <w:basedOn w:val="Parasts"/>
    <w:link w:val="KjeneRakstz"/>
    <w:uiPriority w:val="99"/>
    <w:unhideWhenUsed/>
    <w:rsid w:val="0065440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440E"/>
  </w:style>
  <w:style w:type="paragraph" w:customStyle="1" w:styleId="004Heders">
    <w:name w:val="004 Heders"/>
    <w:basedOn w:val="Parasts"/>
    <w:qFormat/>
    <w:rsid w:val="0065440E"/>
    <w:pPr>
      <w:tabs>
        <w:tab w:val="center" w:pos="4513"/>
        <w:tab w:val="right" w:pos="9026"/>
      </w:tabs>
      <w:spacing w:after="0" w:line="240" w:lineRule="auto"/>
      <w:jc w:val="right"/>
    </w:pPr>
    <w:rPr>
      <w:rFonts w:ascii="Arial" w:hAnsi="Arial" w:cs="Arial"/>
      <w:sz w:val="16"/>
      <w:szCs w:val="16"/>
    </w:rPr>
  </w:style>
  <w:style w:type="paragraph" w:styleId="Paraststmeklis">
    <w:name w:val="Normal (Web)"/>
    <w:basedOn w:val="Parasts"/>
    <w:uiPriority w:val="99"/>
    <w:unhideWhenUsed/>
    <w:rsid w:val="004620F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saite">
    <w:name w:val="Hyperlink"/>
    <w:basedOn w:val="Noklusjumarindkopasfonts"/>
    <w:uiPriority w:val="99"/>
    <w:unhideWhenUsed/>
    <w:rsid w:val="004620FD"/>
    <w:rPr>
      <w:color w:val="0563C1" w:themeColor="hyperlink"/>
      <w:u w:val="single"/>
    </w:rPr>
  </w:style>
  <w:style w:type="character" w:styleId="Neatrisintapieminana">
    <w:name w:val="Unresolved Mention"/>
    <w:basedOn w:val="Noklusjumarindkopasfonts"/>
    <w:uiPriority w:val="99"/>
    <w:semiHidden/>
    <w:unhideWhenUsed/>
    <w:rsid w:val="00462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kroekonomika.lv/kapec-izglitiba-ir-tik-svariga-ekonomikas-attistiba" TargetMode="External"/><Relationship Id="rId3" Type="http://schemas.openxmlformats.org/officeDocument/2006/relationships/webSettings" Target="webSettings.xml"/><Relationship Id="rId7" Type="http://schemas.openxmlformats.org/officeDocument/2006/relationships/hyperlink" Target="https://www.csb.gov.lv/sites/default/files/data/Skoleniem/Iedzivotaju_skaita_dinamika.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1.csb.gov.lv/pxweb/lv/iedz/iedz__iedzskaits__ikgad/ISG010.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3490</Words>
  <Characters>1990</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Jerumane</dc:creator>
  <cp:keywords/>
  <dc:description/>
  <cp:lastModifiedBy>Antra Slava</cp:lastModifiedBy>
  <cp:revision>2</cp:revision>
  <cp:lastPrinted>2021-04-07T16:07:00Z</cp:lastPrinted>
  <dcterms:created xsi:type="dcterms:W3CDTF">2021-04-07T16:14:00Z</dcterms:created>
  <dcterms:modified xsi:type="dcterms:W3CDTF">2021-04-07T16:14:00Z</dcterms:modified>
</cp:coreProperties>
</file>