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12A2" w14:textId="25D99652" w:rsidR="000B5D51" w:rsidRPr="00E06CFD" w:rsidRDefault="000B5D51" w:rsidP="00F50340">
      <w:pPr>
        <w:pStyle w:val="Virsraksts-PBB"/>
        <w:pageBreakBefore w:val="0"/>
        <w:jc w:val="center"/>
        <w:rPr>
          <w:rFonts w:ascii="Arial" w:hAnsi="Arial" w:cs="Arial"/>
          <w:szCs w:val="28"/>
        </w:rPr>
      </w:pPr>
      <w:r w:rsidRPr="00E06CFD">
        <w:rPr>
          <w:rFonts w:ascii="Arial" w:hAnsi="Arial" w:cs="Arial"/>
          <w:szCs w:val="28"/>
        </w:rPr>
        <w:t>Pārbaudes darbs</w:t>
      </w:r>
    </w:p>
    <w:p w14:paraId="372ABA94" w14:textId="77777777" w:rsidR="000B5D51" w:rsidRPr="00F50340" w:rsidRDefault="000B5D51" w:rsidP="000B5D51">
      <w:pPr>
        <w:pStyle w:val="Sarakstarindkopa"/>
        <w:numPr>
          <w:ilvl w:val="0"/>
          <w:numId w:val="4"/>
        </w:numPr>
        <w:tabs>
          <w:tab w:val="left" w:pos="284"/>
        </w:tabs>
        <w:spacing w:before="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Papildini tekstu! (</w:t>
      </w:r>
      <w:r w:rsidRPr="00166289">
        <w:rPr>
          <w:rFonts w:ascii="Arial" w:hAnsi="Arial" w:cs="Arial"/>
          <w:b/>
          <w:bCs/>
          <w:sz w:val="24"/>
          <w:szCs w:val="24"/>
          <w:lang w:val="lv-LV"/>
        </w:rPr>
        <w:t>9 punkti</w:t>
      </w:r>
      <w:r w:rsidRPr="00F50340">
        <w:rPr>
          <w:rFonts w:ascii="Arial" w:hAnsi="Arial" w:cs="Arial"/>
          <w:sz w:val="24"/>
          <w:szCs w:val="24"/>
          <w:lang w:val="lv-LV"/>
        </w:rPr>
        <w:t>)</w:t>
      </w:r>
    </w:p>
    <w:p w14:paraId="7D447E8D" w14:textId="77777777" w:rsidR="000B5D51" w:rsidRPr="00017828" w:rsidRDefault="000B5D51" w:rsidP="005023CD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 xml:space="preserve">Pieaugot reālajam IKP, ja nemainās naudas aprites ātrums un naudas piedāvājums, cenu līmenis </w:t>
      </w:r>
      <w:r w:rsidRPr="00017828">
        <w:rPr>
          <w:rFonts w:ascii="Arial" w:hAnsi="Arial" w:cs="Arial"/>
          <w:color w:val="FF0000"/>
          <w:sz w:val="24"/>
          <w:szCs w:val="24"/>
          <w:lang w:val="lv-LV"/>
        </w:rPr>
        <w:t xml:space="preserve">samazinās </w:t>
      </w:r>
      <w:r w:rsidRPr="00017828">
        <w:rPr>
          <w:rFonts w:ascii="Arial" w:hAnsi="Arial" w:cs="Arial"/>
          <w:sz w:val="24"/>
          <w:szCs w:val="24"/>
          <w:lang w:val="lv-LV"/>
        </w:rPr>
        <w:t>un</w:t>
      </w:r>
    </w:p>
    <w:p w14:paraId="47B7EFAB" w14:textId="7D3A7176" w:rsidR="000B5D51" w:rsidRPr="00017828" w:rsidRDefault="005023CD" w:rsidP="005023CD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017828">
        <w:rPr>
          <w:rFonts w:ascii="Arial" w:hAnsi="Arial" w:cs="Arial"/>
          <w:sz w:val="24"/>
          <w:szCs w:val="24"/>
          <w:lang w:val="lv-LV"/>
        </w:rPr>
        <w:t xml:space="preserve">tautsaimniecībā </w:t>
      </w:r>
      <w:r w:rsidR="000B5D51" w:rsidRPr="00017828">
        <w:rPr>
          <w:rFonts w:ascii="Arial" w:hAnsi="Arial" w:cs="Arial"/>
          <w:sz w:val="24"/>
          <w:szCs w:val="24"/>
          <w:lang w:val="lv-LV"/>
        </w:rPr>
        <w:t xml:space="preserve">ir vērojama </w:t>
      </w:r>
      <w:r w:rsidR="000B5D51" w:rsidRPr="00017828">
        <w:rPr>
          <w:rFonts w:ascii="Arial" w:hAnsi="Arial" w:cs="Arial"/>
          <w:color w:val="FF0000"/>
          <w:sz w:val="24"/>
          <w:szCs w:val="24"/>
          <w:lang w:val="lv-LV"/>
        </w:rPr>
        <w:t>deflācija</w:t>
      </w:r>
      <w:r w:rsidR="000B5D51" w:rsidRPr="00017828">
        <w:rPr>
          <w:rFonts w:ascii="Arial" w:hAnsi="Arial" w:cs="Arial"/>
          <w:sz w:val="24"/>
          <w:szCs w:val="24"/>
          <w:lang w:val="lv-LV"/>
        </w:rPr>
        <w:t>.</w:t>
      </w:r>
    </w:p>
    <w:p w14:paraId="7672441E" w14:textId="1E5EBAEE" w:rsidR="000B5D51" w:rsidRPr="00017828" w:rsidRDefault="000B5D51" w:rsidP="005023CD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017828">
        <w:rPr>
          <w:rFonts w:ascii="Arial" w:hAnsi="Arial" w:cs="Arial"/>
          <w:sz w:val="24"/>
          <w:szCs w:val="24"/>
          <w:lang w:val="lv-LV"/>
        </w:rPr>
        <w:t xml:space="preserve">Lai to novērstu, centrālā banka naudas piedāvājumu </w:t>
      </w:r>
      <w:r w:rsidRPr="00017828">
        <w:rPr>
          <w:rFonts w:ascii="Arial" w:hAnsi="Arial" w:cs="Arial"/>
          <w:color w:val="FF0000"/>
          <w:sz w:val="24"/>
          <w:szCs w:val="24"/>
          <w:lang w:val="lv-LV"/>
        </w:rPr>
        <w:t>palielina</w:t>
      </w:r>
    </w:p>
    <w:p w14:paraId="18AC1A4D" w14:textId="77777777" w:rsidR="000B5D51" w:rsidRPr="00017828" w:rsidRDefault="000B5D51" w:rsidP="005023CD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017828">
        <w:rPr>
          <w:rFonts w:ascii="Arial" w:hAnsi="Arial" w:cs="Arial"/>
          <w:sz w:val="24"/>
          <w:szCs w:val="24"/>
          <w:lang w:val="lv-LV"/>
        </w:rPr>
        <w:t xml:space="preserve">Ja reālais IKP būs zemāks par potenciālo IKP, centrālā banka vēlēsies procentu likmes </w:t>
      </w:r>
      <w:r w:rsidRPr="00017828">
        <w:rPr>
          <w:rFonts w:ascii="Arial" w:hAnsi="Arial" w:cs="Arial"/>
          <w:color w:val="FF0000"/>
          <w:sz w:val="24"/>
          <w:szCs w:val="24"/>
          <w:lang w:val="lv-LV"/>
        </w:rPr>
        <w:t>pazemināt</w:t>
      </w:r>
      <w:r w:rsidRPr="00017828">
        <w:rPr>
          <w:rFonts w:ascii="Arial" w:hAnsi="Arial" w:cs="Arial"/>
          <w:sz w:val="24"/>
          <w:szCs w:val="24"/>
          <w:lang w:val="lv-LV"/>
        </w:rPr>
        <w:t>, un īstenot</w:t>
      </w:r>
    </w:p>
    <w:p w14:paraId="1D79C8ED" w14:textId="77777777" w:rsidR="000B5D51" w:rsidRPr="00017828" w:rsidRDefault="000B5D51" w:rsidP="005023CD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017828">
        <w:rPr>
          <w:rFonts w:ascii="Arial" w:hAnsi="Arial" w:cs="Arial"/>
          <w:color w:val="FF0000"/>
          <w:sz w:val="24"/>
          <w:szCs w:val="24"/>
          <w:lang w:val="lv-LV"/>
        </w:rPr>
        <w:t xml:space="preserve">stimulējošo </w:t>
      </w:r>
      <w:r w:rsidRPr="00017828">
        <w:rPr>
          <w:rFonts w:ascii="Arial" w:hAnsi="Arial" w:cs="Arial"/>
          <w:sz w:val="24"/>
          <w:szCs w:val="24"/>
          <w:lang w:val="lv-LV"/>
        </w:rPr>
        <w:t>monetāro politiku.</w:t>
      </w:r>
    </w:p>
    <w:p w14:paraId="641DF47A" w14:textId="77777777" w:rsidR="000B5D51" w:rsidRPr="00017828" w:rsidRDefault="000B5D51" w:rsidP="005023CD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017828">
        <w:rPr>
          <w:rFonts w:ascii="Arial" w:hAnsi="Arial" w:cs="Arial"/>
          <w:sz w:val="24"/>
          <w:szCs w:val="24"/>
          <w:lang w:val="lv-LV"/>
        </w:rPr>
        <w:t xml:space="preserve">Lai to panāktu, centrālā banka palielinās </w:t>
      </w:r>
      <w:r w:rsidRPr="00017828">
        <w:rPr>
          <w:rFonts w:ascii="Arial" w:hAnsi="Arial" w:cs="Arial"/>
          <w:color w:val="FF0000"/>
          <w:sz w:val="24"/>
          <w:szCs w:val="24"/>
          <w:lang w:val="lv-LV"/>
        </w:rPr>
        <w:t>naudas piedāvājumu</w:t>
      </w:r>
      <w:r w:rsidRPr="00017828">
        <w:rPr>
          <w:rFonts w:ascii="Arial" w:hAnsi="Arial" w:cs="Arial"/>
          <w:sz w:val="24"/>
          <w:szCs w:val="24"/>
          <w:lang w:val="lv-LV"/>
        </w:rPr>
        <w:t xml:space="preserve">, </w:t>
      </w:r>
    </w:p>
    <w:p w14:paraId="6C38D7FD" w14:textId="77777777" w:rsidR="000B5D51" w:rsidRPr="00017828" w:rsidRDefault="000B5D51" w:rsidP="005023CD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017828">
        <w:rPr>
          <w:rFonts w:ascii="Arial" w:hAnsi="Arial" w:cs="Arial"/>
          <w:sz w:val="24"/>
          <w:szCs w:val="24"/>
          <w:lang w:val="lv-LV"/>
        </w:rPr>
        <w:t xml:space="preserve">tādējādi samazinot </w:t>
      </w:r>
      <w:r w:rsidRPr="00017828">
        <w:rPr>
          <w:rFonts w:ascii="Arial" w:hAnsi="Arial" w:cs="Arial"/>
          <w:color w:val="FF0000"/>
          <w:sz w:val="24"/>
          <w:szCs w:val="24"/>
          <w:lang w:val="lv-LV"/>
        </w:rPr>
        <w:t xml:space="preserve">procentu likmes </w:t>
      </w:r>
      <w:r w:rsidRPr="00017828">
        <w:rPr>
          <w:rFonts w:ascii="Arial" w:hAnsi="Arial" w:cs="Arial"/>
          <w:sz w:val="24"/>
          <w:szCs w:val="24"/>
          <w:lang w:val="lv-LV"/>
        </w:rPr>
        <w:t>jeb naudas aizņemšanās izmaksas,</w:t>
      </w:r>
    </w:p>
    <w:p w14:paraId="5BC305C9" w14:textId="461FB34E" w:rsidR="000B5D51" w:rsidRPr="00017828" w:rsidRDefault="005023CD" w:rsidP="005023CD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017828">
        <w:rPr>
          <w:rFonts w:ascii="Arial" w:hAnsi="Arial" w:cs="Arial"/>
          <w:sz w:val="24"/>
          <w:szCs w:val="24"/>
          <w:lang w:val="lv-LV"/>
        </w:rPr>
        <w:t>bet t</w:t>
      </w:r>
      <w:r w:rsidR="000B5D51" w:rsidRPr="00017828">
        <w:rPr>
          <w:rFonts w:ascii="Arial" w:hAnsi="Arial" w:cs="Arial"/>
          <w:sz w:val="24"/>
          <w:szCs w:val="24"/>
          <w:lang w:val="lv-LV"/>
        </w:rPr>
        <w:t xml:space="preserve">as savukārt palielinās </w:t>
      </w:r>
      <w:r w:rsidR="000B5D51" w:rsidRPr="00017828">
        <w:rPr>
          <w:rFonts w:ascii="Arial" w:hAnsi="Arial" w:cs="Arial"/>
          <w:color w:val="FF0000"/>
          <w:sz w:val="24"/>
          <w:szCs w:val="24"/>
          <w:lang w:val="lv-LV"/>
        </w:rPr>
        <w:t>patēriņu/investīcijas/kopējo pieprasījumu</w:t>
      </w:r>
      <w:r w:rsidR="000B5D51" w:rsidRPr="00017828">
        <w:rPr>
          <w:rFonts w:ascii="Arial" w:hAnsi="Arial" w:cs="Arial"/>
          <w:sz w:val="24"/>
          <w:szCs w:val="24"/>
          <w:lang w:val="lv-LV"/>
        </w:rPr>
        <w:t>,</w:t>
      </w:r>
    </w:p>
    <w:p w14:paraId="63C1DA0B" w14:textId="129DADF9" w:rsidR="000B5D51" w:rsidRPr="00017828" w:rsidRDefault="000B5D51" w:rsidP="005023CD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017828">
        <w:rPr>
          <w:rFonts w:ascii="Arial" w:hAnsi="Arial" w:cs="Arial"/>
          <w:sz w:val="24"/>
          <w:szCs w:val="24"/>
          <w:lang w:val="lv-LV"/>
        </w:rPr>
        <w:t xml:space="preserve">tādējādi palielinot </w:t>
      </w:r>
      <w:r w:rsidRPr="00017828">
        <w:rPr>
          <w:rFonts w:ascii="Arial" w:hAnsi="Arial" w:cs="Arial"/>
          <w:color w:val="FF0000"/>
          <w:sz w:val="24"/>
          <w:szCs w:val="24"/>
          <w:lang w:val="lv-LV"/>
        </w:rPr>
        <w:t>reālo IKP/izaugsmi</w:t>
      </w:r>
      <w:r w:rsidRPr="00017828">
        <w:rPr>
          <w:rFonts w:ascii="Arial" w:hAnsi="Arial" w:cs="Arial"/>
          <w:sz w:val="24"/>
          <w:szCs w:val="24"/>
          <w:lang w:val="lv-LV"/>
        </w:rPr>
        <w:t>.</w:t>
      </w:r>
    </w:p>
    <w:p w14:paraId="4627D391" w14:textId="77777777" w:rsidR="00166289" w:rsidRPr="00F50340" w:rsidRDefault="00166289" w:rsidP="00166289">
      <w:pPr>
        <w:pStyle w:val="Sarakstarindkopa"/>
        <w:tabs>
          <w:tab w:val="left" w:pos="284"/>
        </w:tabs>
        <w:spacing w:before="60" w:after="60" w:line="259" w:lineRule="auto"/>
        <w:ind w:left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</w:p>
    <w:p w14:paraId="4D72A25F" w14:textId="77777777" w:rsidR="005023CD" w:rsidRDefault="000B5D51" w:rsidP="005023CD">
      <w:pPr>
        <w:pStyle w:val="Sarakstarindkopa"/>
        <w:numPr>
          <w:ilvl w:val="0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Papildini tekstu! (</w:t>
      </w:r>
      <w:r w:rsidRPr="00166289">
        <w:rPr>
          <w:rFonts w:ascii="Arial" w:hAnsi="Arial" w:cs="Arial"/>
          <w:b/>
          <w:bCs/>
          <w:sz w:val="24"/>
          <w:szCs w:val="24"/>
          <w:lang w:val="lv-LV"/>
        </w:rPr>
        <w:t>4 punkti</w:t>
      </w:r>
      <w:r w:rsidRPr="00F50340">
        <w:rPr>
          <w:rFonts w:ascii="Arial" w:hAnsi="Arial" w:cs="Arial"/>
          <w:sz w:val="24"/>
          <w:szCs w:val="24"/>
          <w:lang w:val="lv-LV"/>
        </w:rPr>
        <w:t xml:space="preserve">) </w:t>
      </w:r>
    </w:p>
    <w:p w14:paraId="1ED6B2A9" w14:textId="492E7F7E" w:rsidR="000B5D51" w:rsidRPr="008733AA" w:rsidRDefault="000B5D51" w:rsidP="00EA7F63">
      <w:pPr>
        <w:pStyle w:val="Sarakstarindkopa"/>
        <w:tabs>
          <w:tab w:val="left" w:pos="284"/>
        </w:tabs>
        <w:spacing w:before="60" w:after="60" w:line="259" w:lineRule="auto"/>
        <w:ind w:left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5023CD">
        <w:rPr>
          <w:rFonts w:ascii="Arial" w:hAnsi="Arial" w:cs="Arial"/>
          <w:sz w:val="24"/>
          <w:szCs w:val="24"/>
          <w:lang w:val="lv-LV"/>
        </w:rPr>
        <w:t xml:space="preserve">Saskaņā ar </w:t>
      </w:r>
      <w:r w:rsidR="005023CD" w:rsidRPr="005023CD">
        <w:rPr>
          <w:rFonts w:ascii="Arial" w:hAnsi="Arial" w:cs="Arial"/>
          <w:sz w:val="24"/>
          <w:szCs w:val="24"/>
          <w:lang w:val="lv-LV"/>
        </w:rPr>
        <w:t>Ē</w:t>
      </w:r>
      <w:r w:rsidRPr="008733AA">
        <w:rPr>
          <w:rFonts w:ascii="Arial" w:hAnsi="Arial" w:cs="Arial"/>
          <w:sz w:val="24"/>
          <w:szCs w:val="24"/>
          <w:lang w:val="lv-LV"/>
        </w:rPr>
        <w:t>rvinga Fišera vienādojumu (MV=PQ),</w:t>
      </w:r>
      <w:r w:rsidR="00915212">
        <w:rPr>
          <w:rFonts w:ascii="Arial" w:hAnsi="Arial" w:cs="Arial"/>
          <w:sz w:val="24"/>
          <w:szCs w:val="24"/>
          <w:lang w:val="lv-LV"/>
        </w:rPr>
        <w:t xml:space="preserve"> tātad,</w:t>
      </w:r>
    </w:p>
    <w:p w14:paraId="2D90CEFE" w14:textId="17DDDB8B" w:rsidR="000B5D51" w:rsidRPr="00F50340" w:rsidRDefault="000B5D51" w:rsidP="000B5D51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ja</w:t>
      </w:r>
      <w:r w:rsidR="00166289">
        <w:rPr>
          <w:rFonts w:ascii="Arial" w:hAnsi="Arial" w:cs="Arial"/>
          <w:sz w:val="24"/>
          <w:szCs w:val="24"/>
          <w:lang w:val="lv-LV"/>
        </w:rPr>
        <w:t xml:space="preserve"> </w:t>
      </w:r>
      <w:r w:rsidRPr="00F50340">
        <w:rPr>
          <w:rFonts w:ascii="Arial" w:hAnsi="Arial" w:cs="Arial"/>
          <w:sz w:val="24"/>
          <w:szCs w:val="24"/>
          <w:lang w:val="lv-LV"/>
        </w:rPr>
        <w:t xml:space="preserve">V ir 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naudas aprites ātrums </w:t>
      </w:r>
      <w:r w:rsidRPr="00F50340">
        <w:rPr>
          <w:rFonts w:ascii="Arial" w:hAnsi="Arial" w:cs="Arial"/>
          <w:color w:val="000000" w:themeColor="text1"/>
          <w:sz w:val="24"/>
          <w:szCs w:val="24"/>
          <w:lang w:val="lv-LV"/>
        </w:rPr>
        <w:t>un tas</w:t>
      </w:r>
    </w:p>
    <w:p w14:paraId="2761B8B2" w14:textId="5F3E49A0" w:rsidR="000B5D51" w:rsidRPr="00F50340" w:rsidRDefault="000B5D51" w:rsidP="000B5D51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 xml:space="preserve">samazinās par 20%, bet M ir 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>naudas piedāvājums</w:t>
      </w:r>
      <w:r w:rsidRPr="00F50340">
        <w:rPr>
          <w:rFonts w:ascii="Arial" w:hAnsi="Arial" w:cs="Arial"/>
          <w:sz w:val="24"/>
          <w:szCs w:val="24"/>
          <w:lang w:val="lv-LV"/>
        </w:rPr>
        <w:t xml:space="preserve"> un tas palielinās par 25%,</w:t>
      </w:r>
    </w:p>
    <w:p w14:paraId="6AF75702" w14:textId="73B0C3EE" w:rsidR="000B5D51" w:rsidRPr="00F50340" w:rsidRDefault="000B5D51" w:rsidP="000B5D51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 xml:space="preserve">kamēr inflācijas nav (cenu līmenis – 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>P</w:t>
      </w:r>
      <w:r w:rsidRPr="00F50340">
        <w:rPr>
          <w:rFonts w:ascii="Arial" w:hAnsi="Arial" w:cs="Arial"/>
          <w:sz w:val="24"/>
          <w:szCs w:val="24"/>
          <w:lang w:val="lv-LV"/>
        </w:rPr>
        <w:t xml:space="preserve"> </w:t>
      </w:r>
      <w:r w:rsidR="005023CD">
        <w:rPr>
          <w:rFonts w:ascii="Arial" w:hAnsi="Arial" w:cs="Arial"/>
          <w:sz w:val="24"/>
          <w:szCs w:val="24"/>
          <w:lang w:val="lv-LV"/>
        </w:rPr>
        <w:t xml:space="preserve">– </w:t>
      </w:r>
      <w:r w:rsidRPr="00F50340">
        <w:rPr>
          <w:rFonts w:ascii="Arial" w:hAnsi="Arial" w:cs="Arial"/>
          <w:sz w:val="24"/>
          <w:szCs w:val="24"/>
          <w:lang w:val="lv-LV"/>
        </w:rPr>
        <w:t>nemainās),</w:t>
      </w:r>
    </w:p>
    <w:p w14:paraId="2DD1D978" w14:textId="739B645A" w:rsidR="000B5D51" w:rsidRPr="00F50340" w:rsidRDefault="000B5D51" w:rsidP="000B5D51">
      <w:pPr>
        <w:pStyle w:val="Sarakstarindkopa"/>
        <w:numPr>
          <w:ilvl w:val="1"/>
          <w:numId w:val="4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tad ekonomi</w:t>
      </w:r>
      <w:r w:rsidR="005023CD">
        <w:rPr>
          <w:rFonts w:ascii="Arial" w:hAnsi="Arial" w:cs="Arial"/>
          <w:sz w:val="24"/>
          <w:szCs w:val="24"/>
          <w:lang w:val="lv-LV"/>
        </w:rPr>
        <w:t>skā</w:t>
      </w:r>
      <w:r w:rsidRPr="00F50340">
        <w:rPr>
          <w:rFonts w:ascii="Arial" w:hAnsi="Arial" w:cs="Arial"/>
          <w:sz w:val="24"/>
          <w:szCs w:val="24"/>
          <w:lang w:val="lv-LV"/>
        </w:rPr>
        <w:t xml:space="preserve"> izaugsme, ko parādītu lielāka 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Q </w:t>
      </w:r>
      <w:r w:rsidRPr="00F50340">
        <w:rPr>
          <w:rFonts w:ascii="Arial" w:hAnsi="Arial" w:cs="Arial"/>
          <w:sz w:val="24"/>
          <w:szCs w:val="24"/>
          <w:lang w:val="lv-LV"/>
        </w:rPr>
        <w:t>vērtība, nav notikusi</w:t>
      </w:r>
      <w:r w:rsidR="005023CD">
        <w:rPr>
          <w:rFonts w:ascii="Arial" w:hAnsi="Arial" w:cs="Arial"/>
          <w:sz w:val="24"/>
          <w:szCs w:val="24"/>
          <w:lang w:val="lv-LV"/>
        </w:rPr>
        <w:t>.</w:t>
      </w:r>
    </w:p>
    <w:p w14:paraId="6690A03E" w14:textId="77777777" w:rsidR="000B5D51" w:rsidRPr="00F50340" w:rsidRDefault="000B5D51" w:rsidP="000B5D51">
      <w:pPr>
        <w:pStyle w:val="Sarakstarindkopa"/>
        <w:tabs>
          <w:tab w:val="left" w:pos="284"/>
        </w:tabs>
        <w:spacing w:before="60" w:after="60" w:line="259" w:lineRule="auto"/>
        <w:ind w:left="0"/>
        <w:contextualSpacing w:val="0"/>
        <w:rPr>
          <w:rFonts w:ascii="Arial" w:hAnsi="Arial" w:cs="Arial"/>
          <w:color w:val="FF0000"/>
          <w:sz w:val="24"/>
          <w:szCs w:val="24"/>
          <w:lang w:val="lv-LV"/>
        </w:rPr>
      </w:pPr>
    </w:p>
    <w:p w14:paraId="55604795" w14:textId="6E90BB2C" w:rsidR="000B5D51" w:rsidRPr="00F50340" w:rsidRDefault="000B5D51" w:rsidP="000B5D51">
      <w:pPr>
        <w:pStyle w:val="Sarakstarindkopa"/>
        <w:numPr>
          <w:ilvl w:val="0"/>
          <w:numId w:val="4"/>
        </w:numPr>
        <w:spacing w:before="60" w:after="60" w:line="259" w:lineRule="auto"/>
        <w:ind w:left="284" w:hanging="284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Attēlā redzams potenciālā IKP pārmaiņu novērtējums Latvijā (melnā līnija)</w:t>
      </w:r>
      <w:r w:rsidR="005023CD">
        <w:rPr>
          <w:rFonts w:ascii="Arial" w:hAnsi="Arial" w:cs="Arial"/>
          <w:sz w:val="24"/>
          <w:szCs w:val="24"/>
          <w:lang w:val="lv-LV"/>
        </w:rPr>
        <w:t>.</w:t>
      </w:r>
      <w:r w:rsidRPr="00F50340">
        <w:rPr>
          <w:rFonts w:ascii="Arial" w:hAnsi="Arial" w:cs="Arial"/>
          <w:sz w:val="24"/>
          <w:szCs w:val="24"/>
          <w:lang w:val="lv-LV"/>
        </w:rPr>
        <w:t xml:space="preserve"> (</w:t>
      </w:r>
      <w:r w:rsidRPr="00166289">
        <w:rPr>
          <w:rFonts w:ascii="Arial" w:hAnsi="Arial" w:cs="Arial"/>
          <w:b/>
          <w:bCs/>
          <w:sz w:val="24"/>
          <w:szCs w:val="24"/>
          <w:lang w:val="lv-LV"/>
        </w:rPr>
        <w:t>5 punkti</w:t>
      </w:r>
      <w:r w:rsidRPr="00F50340">
        <w:rPr>
          <w:rFonts w:ascii="Arial" w:hAnsi="Arial" w:cs="Arial"/>
          <w:sz w:val="24"/>
          <w:szCs w:val="24"/>
          <w:lang w:val="lv-LV"/>
        </w:rPr>
        <w:t>)</w:t>
      </w:r>
      <w:r w:rsidRPr="00F5034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825D84" wp14:editId="1B7E896C">
            <wp:extent cx="4844137" cy="373117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137" cy="373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70FE5" w14:textId="2B65B9BF" w:rsidR="000B5D51" w:rsidRPr="00F50340" w:rsidRDefault="000B5D51" w:rsidP="000B5D51">
      <w:pPr>
        <w:pStyle w:val="Sarakstarindkopa"/>
        <w:spacing w:before="60" w:after="60" w:line="259" w:lineRule="auto"/>
        <w:contextualSpacing w:val="0"/>
        <w:rPr>
          <w:rFonts w:ascii="Arial" w:hAnsi="Arial" w:cs="Arial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 xml:space="preserve">(Avots: </w:t>
      </w:r>
      <w:r w:rsidR="00166289" w:rsidRPr="00166289">
        <w:rPr>
          <w:rFonts w:ascii="Arial" w:hAnsi="Arial" w:cs="Arial"/>
          <w:i/>
          <w:iCs/>
          <w:sz w:val="24"/>
          <w:szCs w:val="24"/>
          <w:lang w:val="lv-LV"/>
        </w:rPr>
        <w:t>IMF</w:t>
      </w:r>
      <w:r w:rsidRPr="00F50340">
        <w:rPr>
          <w:rFonts w:ascii="Arial" w:hAnsi="Arial" w:cs="Arial"/>
          <w:sz w:val="24"/>
          <w:szCs w:val="24"/>
          <w:lang w:val="lv-LV"/>
        </w:rPr>
        <w:t>)</w:t>
      </w:r>
    </w:p>
    <w:p w14:paraId="17E4809E" w14:textId="49141567" w:rsidR="00077A2A" w:rsidRPr="00EA7F63" w:rsidRDefault="000B5D51" w:rsidP="00077A2A">
      <w:pPr>
        <w:pStyle w:val="Sarakstarindkopa"/>
        <w:numPr>
          <w:ilvl w:val="1"/>
          <w:numId w:val="4"/>
        </w:numPr>
        <w:tabs>
          <w:tab w:val="left" w:pos="284"/>
        </w:tabs>
        <w:spacing w:before="0" w:after="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Izskaidro, kā iespējams, ka potenciālā IKP pieaugums samazinās jau kopš 2005.</w:t>
      </w:r>
      <w:r w:rsidR="001E0F8F">
        <w:rPr>
          <w:rFonts w:ascii="Arial" w:hAnsi="Arial" w:cs="Arial"/>
          <w:sz w:val="24"/>
          <w:szCs w:val="24"/>
          <w:lang w:val="lv-LV"/>
        </w:rPr>
        <w:t> </w:t>
      </w:r>
      <w:r w:rsidRPr="00F50340">
        <w:rPr>
          <w:rFonts w:ascii="Arial" w:hAnsi="Arial" w:cs="Arial"/>
          <w:sz w:val="24"/>
          <w:szCs w:val="24"/>
          <w:lang w:val="lv-LV"/>
        </w:rPr>
        <w:t>gada, lai gan ekonomi</w:t>
      </w:r>
      <w:r w:rsidR="001E0F8F">
        <w:rPr>
          <w:rFonts w:ascii="Arial" w:hAnsi="Arial" w:cs="Arial"/>
          <w:sz w:val="24"/>
          <w:szCs w:val="24"/>
          <w:lang w:val="lv-LV"/>
        </w:rPr>
        <w:t>s</w:t>
      </w:r>
      <w:r w:rsidRPr="00F50340">
        <w:rPr>
          <w:rFonts w:ascii="Arial" w:hAnsi="Arial" w:cs="Arial"/>
          <w:sz w:val="24"/>
          <w:szCs w:val="24"/>
          <w:lang w:val="lv-LV"/>
        </w:rPr>
        <w:t>kā lejupslīde sākās tikai 2008. gadā</w:t>
      </w:r>
      <w:r w:rsidR="001E0F8F">
        <w:rPr>
          <w:rFonts w:ascii="Arial" w:hAnsi="Arial" w:cs="Arial"/>
          <w:sz w:val="24"/>
          <w:szCs w:val="24"/>
          <w:lang w:val="lv-LV"/>
        </w:rPr>
        <w:t>!</w:t>
      </w:r>
    </w:p>
    <w:p w14:paraId="4DA13196" w14:textId="77777777" w:rsidR="00166289" w:rsidRPr="00F50340" w:rsidRDefault="00166289" w:rsidP="00166289">
      <w:pPr>
        <w:pStyle w:val="Sarakstarindkopa"/>
        <w:tabs>
          <w:tab w:val="left" w:pos="284"/>
        </w:tabs>
        <w:spacing w:before="0" w:after="0" w:line="259" w:lineRule="auto"/>
        <w:ind w:left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color w:val="FF0000"/>
          <w:sz w:val="24"/>
          <w:szCs w:val="24"/>
          <w:lang w:val="lv-LV"/>
        </w:rPr>
        <w:t>Samazinās pieauguma temps, bet potenciālais IKP palielinās līdz 2008. gada vidum. Pieauguma temps samazin</w:t>
      </w:r>
      <w:r>
        <w:rPr>
          <w:rFonts w:ascii="Arial" w:hAnsi="Arial" w:cs="Arial"/>
          <w:color w:val="FF0000"/>
          <w:sz w:val="24"/>
          <w:szCs w:val="24"/>
          <w:lang w:val="lv-LV"/>
        </w:rPr>
        <w:t>āj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>ās</w:t>
      </w:r>
      <w:r>
        <w:rPr>
          <w:rFonts w:ascii="Arial" w:hAnsi="Arial" w:cs="Arial"/>
          <w:color w:val="FF0000"/>
          <w:sz w:val="24"/>
          <w:szCs w:val="24"/>
          <w:lang w:val="lv-LV"/>
        </w:rPr>
        <w:t xml:space="preserve"> tāpēc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, </w:t>
      </w:r>
      <w:r>
        <w:rPr>
          <w:rFonts w:ascii="Arial" w:hAnsi="Arial" w:cs="Arial"/>
          <w:color w:val="FF0000"/>
          <w:sz w:val="24"/>
          <w:szCs w:val="24"/>
          <w:lang w:val="lv-LV"/>
        </w:rPr>
        <w:t>ka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 visi resursi bija pilnībā noslogoti, samazinājās investīciju īpatsvars IKP.</w:t>
      </w:r>
    </w:p>
    <w:p w14:paraId="3BF8247B" w14:textId="77777777" w:rsidR="00166289" w:rsidRPr="00166289" w:rsidRDefault="00166289" w:rsidP="00166289">
      <w:pPr>
        <w:pStyle w:val="Sarakstarindkopa"/>
        <w:numPr>
          <w:ilvl w:val="1"/>
          <w:numId w:val="4"/>
        </w:numPr>
        <w:tabs>
          <w:tab w:val="left" w:pos="284"/>
        </w:tabs>
        <w:spacing w:before="0" w:after="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 xml:space="preserve">Kādai </w:t>
      </w:r>
      <w:r>
        <w:rPr>
          <w:rFonts w:ascii="Arial" w:hAnsi="Arial" w:cs="Arial"/>
          <w:sz w:val="24"/>
          <w:szCs w:val="24"/>
          <w:lang w:val="lv-LV"/>
        </w:rPr>
        <w:t>vajadzēja</w:t>
      </w:r>
      <w:r w:rsidRPr="00F50340">
        <w:rPr>
          <w:rFonts w:ascii="Arial" w:hAnsi="Arial" w:cs="Arial"/>
          <w:sz w:val="24"/>
          <w:szCs w:val="24"/>
          <w:lang w:val="lv-LV"/>
        </w:rPr>
        <w:t xml:space="preserve"> būt Latvijas </w:t>
      </w:r>
      <w:r>
        <w:rPr>
          <w:rFonts w:ascii="Arial" w:hAnsi="Arial" w:cs="Arial"/>
          <w:sz w:val="24"/>
          <w:szCs w:val="24"/>
          <w:lang w:val="lv-LV"/>
        </w:rPr>
        <w:t>B</w:t>
      </w:r>
      <w:r w:rsidRPr="00F50340">
        <w:rPr>
          <w:rFonts w:ascii="Arial" w:hAnsi="Arial" w:cs="Arial"/>
          <w:sz w:val="24"/>
          <w:szCs w:val="24"/>
          <w:lang w:val="lv-LV"/>
        </w:rPr>
        <w:t>ankas monetārajai politikai 2009. gadā, kad ekonomiskajā attīstībās bija strauja lejupslīde un reālais IKP bija zemāks par  potenciālo IKP?</w:t>
      </w:r>
    </w:p>
    <w:p w14:paraId="399C461F" w14:textId="77777777" w:rsidR="00166289" w:rsidRPr="00166289" w:rsidRDefault="00166289" w:rsidP="00166289">
      <w:pPr>
        <w:tabs>
          <w:tab w:val="left" w:pos="284"/>
        </w:tabs>
        <w:spacing w:before="0" w:after="0" w:line="259" w:lineRule="auto"/>
        <w:rPr>
          <w:rFonts w:ascii="Arial" w:hAnsi="Arial" w:cs="Arial"/>
          <w:sz w:val="24"/>
          <w:szCs w:val="24"/>
          <w:u w:val="single"/>
          <w:lang w:val="lv-LV"/>
        </w:rPr>
      </w:pPr>
      <w:r w:rsidRPr="00166289">
        <w:rPr>
          <w:rFonts w:ascii="Arial" w:hAnsi="Arial" w:cs="Arial"/>
          <w:color w:val="FF0000"/>
          <w:sz w:val="24"/>
          <w:szCs w:val="24"/>
          <w:lang w:val="lv-LV"/>
        </w:rPr>
        <w:t>Stimulējošai</w:t>
      </w:r>
    </w:p>
    <w:p w14:paraId="3B3AD905" w14:textId="77777777" w:rsidR="00166289" w:rsidRPr="00166289" w:rsidRDefault="00166289" w:rsidP="00166289">
      <w:pPr>
        <w:pStyle w:val="Sarakstarindkopa"/>
        <w:numPr>
          <w:ilvl w:val="1"/>
          <w:numId w:val="4"/>
        </w:numPr>
        <w:tabs>
          <w:tab w:val="left" w:pos="284"/>
        </w:tabs>
        <w:spacing w:before="0" w:after="0" w:line="259" w:lineRule="auto"/>
        <w:ind w:left="0" w:firstLine="0"/>
        <w:contextualSpacing w:val="0"/>
        <w:rPr>
          <w:rFonts w:ascii="Arial" w:hAnsi="Arial" w:cs="Arial"/>
          <w:color w:val="FF0000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Kas 2008.–2011. gadā notika ar Latvijas potenciālo IKP?</w:t>
      </w:r>
    </w:p>
    <w:p w14:paraId="5BA472C6" w14:textId="77777777" w:rsidR="00166289" w:rsidRPr="00F50340" w:rsidRDefault="00166289" w:rsidP="00166289">
      <w:pPr>
        <w:pStyle w:val="Sarakstarindkopa"/>
        <w:tabs>
          <w:tab w:val="left" w:pos="284"/>
        </w:tabs>
        <w:spacing w:before="0" w:after="0" w:line="259" w:lineRule="auto"/>
        <w:ind w:left="0"/>
        <w:contextualSpacing w:val="0"/>
        <w:rPr>
          <w:rFonts w:ascii="Arial" w:hAnsi="Arial" w:cs="Arial"/>
          <w:color w:val="FF0000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color w:val="FF0000"/>
          <w:sz w:val="24"/>
          <w:szCs w:val="24"/>
          <w:lang w:val="lv-LV"/>
        </w:rPr>
        <w:t>Potenciālais IKP samazinājās.</w:t>
      </w:r>
    </w:p>
    <w:p w14:paraId="4ED40D97" w14:textId="77777777" w:rsidR="00166289" w:rsidRPr="00166289" w:rsidRDefault="00166289" w:rsidP="00166289">
      <w:pPr>
        <w:pStyle w:val="Sarakstarindkopa"/>
        <w:numPr>
          <w:ilvl w:val="1"/>
          <w:numId w:val="4"/>
        </w:numPr>
        <w:tabs>
          <w:tab w:val="left" w:pos="284"/>
        </w:tabs>
        <w:spacing w:before="0" w:after="0" w:line="259" w:lineRule="auto"/>
        <w:ind w:left="0" w:firstLine="0"/>
        <w:contextualSpacing w:val="0"/>
        <w:rPr>
          <w:rFonts w:ascii="Arial" w:hAnsi="Arial" w:cs="Arial"/>
          <w:color w:val="FF0000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Kā to varētu izskaidrot?</w:t>
      </w:r>
    </w:p>
    <w:p w14:paraId="381A36C4" w14:textId="77777777" w:rsidR="00166289" w:rsidRPr="00F50340" w:rsidRDefault="00166289" w:rsidP="00166289">
      <w:pPr>
        <w:pStyle w:val="Sarakstarindkopa"/>
        <w:tabs>
          <w:tab w:val="left" w:pos="284"/>
        </w:tabs>
        <w:spacing w:before="0" w:after="0" w:line="259" w:lineRule="auto"/>
        <w:ind w:left="0"/>
        <w:contextualSpacing w:val="0"/>
        <w:rPr>
          <w:rFonts w:ascii="Arial" w:hAnsi="Arial" w:cs="Arial"/>
          <w:color w:val="FF0000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Samazinājās resursu </w:t>
      </w:r>
      <w:r>
        <w:rPr>
          <w:rFonts w:ascii="Arial" w:hAnsi="Arial" w:cs="Arial"/>
          <w:color w:val="FF0000"/>
          <w:sz w:val="24"/>
          <w:szCs w:val="24"/>
          <w:lang w:val="lv-LV"/>
        </w:rPr>
        <w:t>apjoms tautsaimniecībā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 (emigrācija, maz investīciju, pat investīciju aizplūšana.</w:t>
      </w:r>
    </w:p>
    <w:p w14:paraId="60B3E008" w14:textId="05AD5834" w:rsidR="00166289" w:rsidRPr="00166289" w:rsidRDefault="00166289" w:rsidP="00166289">
      <w:pPr>
        <w:pStyle w:val="Sarakstarindkopa"/>
        <w:numPr>
          <w:ilvl w:val="1"/>
          <w:numId w:val="4"/>
        </w:numPr>
        <w:tabs>
          <w:tab w:val="left" w:pos="284"/>
        </w:tabs>
        <w:spacing w:before="0" w:after="0" w:line="259" w:lineRule="auto"/>
        <w:ind w:left="0" w:firstLine="0"/>
        <w:contextualSpacing w:val="0"/>
        <w:rPr>
          <w:rFonts w:ascii="Arial" w:hAnsi="Arial" w:cs="Arial"/>
          <w:color w:val="FF0000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Ņemot vērā, ka minēto nespēja novērst monetārā politika, kādai vēl bija jābūt rīcībai?</w:t>
      </w:r>
      <w:r w:rsidRPr="00F50340">
        <w:rPr>
          <w:rFonts w:ascii="Arial" w:hAnsi="Arial" w:cs="Arial"/>
          <w:sz w:val="24"/>
          <w:szCs w:val="24"/>
          <w:lang w:val="lv-LV"/>
        </w:rPr>
        <w:br/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 Stimulējoš</w:t>
      </w:r>
      <w:r>
        <w:rPr>
          <w:rFonts w:ascii="Arial" w:hAnsi="Arial" w:cs="Arial"/>
          <w:color w:val="FF0000"/>
          <w:sz w:val="24"/>
          <w:szCs w:val="24"/>
          <w:lang w:val="lv-LV"/>
        </w:rPr>
        <w:t>ā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 monetār</w:t>
      </w:r>
      <w:r>
        <w:rPr>
          <w:rFonts w:ascii="Arial" w:hAnsi="Arial" w:cs="Arial"/>
          <w:color w:val="FF0000"/>
          <w:sz w:val="24"/>
          <w:szCs w:val="24"/>
          <w:lang w:val="lv-LV"/>
        </w:rPr>
        <w:t>ā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 politik</w:t>
      </w:r>
      <w:r>
        <w:rPr>
          <w:rFonts w:ascii="Arial" w:hAnsi="Arial" w:cs="Arial"/>
          <w:color w:val="FF0000"/>
          <w:sz w:val="24"/>
          <w:szCs w:val="24"/>
          <w:lang w:val="lv-LV"/>
        </w:rPr>
        <w:t>a</w:t>
      </w: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 bija jāatbalsta ar stimulējošu fiskālo politiku.</w:t>
      </w:r>
    </w:p>
    <w:p w14:paraId="661D71A5" w14:textId="77777777" w:rsidR="00166289" w:rsidRPr="00F50340" w:rsidRDefault="00166289" w:rsidP="00166289">
      <w:pPr>
        <w:pStyle w:val="Sarakstarindkopa"/>
        <w:tabs>
          <w:tab w:val="left" w:pos="284"/>
        </w:tabs>
        <w:spacing w:before="0" w:after="0" w:line="259" w:lineRule="auto"/>
        <w:ind w:left="0"/>
        <w:contextualSpacing w:val="0"/>
        <w:rPr>
          <w:rFonts w:ascii="Arial" w:hAnsi="Arial" w:cs="Arial"/>
          <w:color w:val="FF0000"/>
          <w:sz w:val="24"/>
          <w:szCs w:val="24"/>
          <w:u w:val="single"/>
          <w:lang w:val="lv-LV"/>
        </w:rPr>
      </w:pPr>
    </w:p>
    <w:p w14:paraId="6FA68325" w14:textId="77777777" w:rsidR="00166289" w:rsidRPr="00F50340" w:rsidRDefault="00166289" w:rsidP="00166289">
      <w:pPr>
        <w:pStyle w:val="Sarakstarindkopa"/>
        <w:numPr>
          <w:ilvl w:val="0"/>
          <w:numId w:val="4"/>
        </w:numPr>
        <w:tabs>
          <w:tab w:val="left" w:pos="284"/>
        </w:tabs>
        <w:spacing w:before="0" w:after="1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Anal</w:t>
      </w:r>
      <w:r>
        <w:rPr>
          <w:rFonts w:ascii="Arial" w:hAnsi="Arial" w:cs="Arial"/>
          <w:sz w:val="24"/>
          <w:szCs w:val="24"/>
          <w:lang w:val="lv-LV"/>
        </w:rPr>
        <w:t>i</w:t>
      </w:r>
      <w:r w:rsidRPr="00F50340">
        <w:rPr>
          <w:rFonts w:ascii="Arial" w:hAnsi="Arial" w:cs="Arial"/>
          <w:sz w:val="24"/>
          <w:szCs w:val="24"/>
          <w:lang w:val="lv-LV"/>
        </w:rPr>
        <w:t>zē tabulā redzamās Eiropas Centrālās bankas noguldījumu iespējas procentu likmes un aizņēmumu iespējas procentu likmes un atbild</w:t>
      </w:r>
      <w:r>
        <w:rPr>
          <w:rFonts w:ascii="Arial" w:hAnsi="Arial" w:cs="Arial"/>
          <w:sz w:val="24"/>
          <w:szCs w:val="24"/>
          <w:lang w:val="lv-LV"/>
        </w:rPr>
        <w:t>i</w:t>
      </w:r>
      <w:r w:rsidRPr="00F50340">
        <w:rPr>
          <w:rFonts w:ascii="Arial" w:hAnsi="Arial" w:cs="Arial"/>
          <w:sz w:val="24"/>
          <w:szCs w:val="24"/>
          <w:lang w:val="lv-LV"/>
        </w:rPr>
        <w:t xml:space="preserve"> uz jautājumiem</w:t>
      </w:r>
      <w:r>
        <w:rPr>
          <w:rFonts w:ascii="Arial" w:hAnsi="Arial" w:cs="Arial"/>
          <w:sz w:val="24"/>
          <w:szCs w:val="24"/>
          <w:lang w:val="lv-LV"/>
        </w:rPr>
        <w:t>!</w:t>
      </w:r>
      <w:r w:rsidRPr="00F50340">
        <w:rPr>
          <w:rFonts w:ascii="Arial" w:hAnsi="Arial" w:cs="Arial"/>
          <w:sz w:val="24"/>
          <w:szCs w:val="24"/>
          <w:lang w:val="lv-LV"/>
        </w:rPr>
        <w:t xml:space="preserve"> Atbildes pamato! (</w:t>
      </w:r>
      <w:r w:rsidRPr="00166289">
        <w:rPr>
          <w:rFonts w:ascii="Arial" w:hAnsi="Arial" w:cs="Arial"/>
          <w:b/>
          <w:bCs/>
          <w:sz w:val="24"/>
          <w:szCs w:val="24"/>
          <w:lang w:val="lv-LV"/>
        </w:rPr>
        <w:t>9 punkti</w:t>
      </w:r>
      <w:r w:rsidRPr="00F50340">
        <w:rPr>
          <w:rFonts w:ascii="Arial" w:hAnsi="Arial" w:cs="Arial"/>
          <w:sz w:val="24"/>
          <w:szCs w:val="24"/>
          <w:lang w:val="lv-LV"/>
        </w:rPr>
        <w:t>).</w:t>
      </w:r>
    </w:p>
    <w:tbl>
      <w:tblPr>
        <w:tblStyle w:val="Reatabula4"/>
        <w:tblW w:w="6091" w:type="dxa"/>
        <w:jc w:val="center"/>
        <w:tblLook w:val="04A0" w:firstRow="1" w:lastRow="0" w:firstColumn="1" w:lastColumn="0" w:noHBand="0" w:noVBand="1"/>
      </w:tblPr>
      <w:tblGrid>
        <w:gridCol w:w="1484"/>
        <w:gridCol w:w="2169"/>
        <w:gridCol w:w="2446"/>
      </w:tblGrid>
      <w:tr w:rsidR="00166289" w:rsidRPr="00F50340" w14:paraId="4875E4DA" w14:textId="77777777" w:rsidTr="00464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</w:tcPr>
          <w:p w14:paraId="62022663" w14:textId="77777777" w:rsidR="00166289" w:rsidRPr="00F50340" w:rsidRDefault="00166289" w:rsidP="00464747">
            <w:pPr>
              <w:pStyle w:val="Tabula-kompakta"/>
              <w:spacing w:before="0" w:after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50340">
              <w:rPr>
                <w:rFonts w:ascii="Arial" w:hAnsi="Arial" w:cs="Arial"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2169" w:type="dxa"/>
            <w:noWrap/>
          </w:tcPr>
          <w:p w14:paraId="07879F3A" w14:textId="77777777" w:rsidR="00166289" w:rsidRPr="00F50340" w:rsidRDefault="00166289" w:rsidP="00464747">
            <w:pPr>
              <w:pStyle w:val="Tabula-kompakta"/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50340">
              <w:rPr>
                <w:rFonts w:ascii="Arial" w:hAnsi="Arial" w:cs="Arial"/>
                <w:color w:val="auto"/>
                <w:sz w:val="24"/>
                <w:szCs w:val="24"/>
              </w:rPr>
              <w:t>Noguldījumu iespējas procentu likme (%)</w:t>
            </w:r>
          </w:p>
        </w:tc>
        <w:tc>
          <w:tcPr>
            <w:tcW w:w="2446" w:type="dxa"/>
            <w:noWrap/>
          </w:tcPr>
          <w:p w14:paraId="78F41FD3" w14:textId="77777777" w:rsidR="00166289" w:rsidRPr="00F50340" w:rsidRDefault="00166289" w:rsidP="00464747">
            <w:pPr>
              <w:pStyle w:val="Tabula-kompakta"/>
              <w:spacing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50340">
              <w:rPr>
                <w:rFonts w:ascii="Arial" w:hAnsi="Arial" w:cs="Arial"/>
                <w:color w:val="auto"/>
                <w:sz w:val="24"/>
                <w:szCs w:val="24"/>
              </w:rPr>
              <w:t>Galveno refinansēšanas operāciju procentu likme (%)</w:t>
            </w:r>
          </w:p>
        </w:tc>
      </w:tr>
      <w:tr w:rsidR="00166289" w:rsidRPr="00F50340" w14:paraId="73C48631" w14:textId="77777777" w:rsidTr="0046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6DD95B21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18.09.2019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4689FC52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50340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2446" w:type="dxa"/>
            <w:noWrap/>
            <w:hideMark/>
          </w:tcPr>
          <w:p w14:paraId="36A1AF08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66289" w:rsidRPr="00F50340" w14:paraId="19881BB2" w14:textId="77777777" w:rsidTr="0046474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555D0028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16.03.2016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6BDBF032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50340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2446" w:type="dxa"/>
            <w:noWrap/>
            <w:hideMark/>
          </w:tcPr>
          <w:p w14:paraId="6F9A9D0E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66289" w:rsidRPr="00F50340" w14:paraId="58865AD8" w14:textId="77777777" w:rsidTr="0046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159B4E03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10.09.2014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020C9479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50340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2446" w:type="dxa"/>
            <w:noWrap/>
            <w:hideMark/>
          </w:tcPr>
          <w:p w14:paraId="37A88F18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166289" w:rsidRPr="00F50340" w14:paraId="1AF5A1EE" w14:textId="77777777" w:rsidTr="0046474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3557FA1E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11.06.2014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0B232F16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50340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2446" w:type="dxa"/>
            <w:noWrap/>
            <w:hideMark/>
          </w:tcPr>
          <w:p w14:paraId="5FD21ED4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166289" w:rsidRPr="00F50340" w14:paraId="07E04DAA" w14:textId="77777777" w:rsidTr="0046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5C51E50D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13.11.2013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4CCD0966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46" w:type="dxa"/>
            <w:noWrap/>
            <w:hideMark/>
          </w:tcPr>
          <w:p w14:paraId="70EE7A8C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166289" w:rsidRPr="00F50340" w14:paraId="2FC7B3EB" w14:textId="77777777" w:rsidTr="0046474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43102F86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08.05.2013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5EFC0D6E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46" w:type="dxa"/>
            <w:noWrap/>
            <w:hideMark/>
          </w:tcPr>
          <w:p w14:paraId="069C286E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166289" w:rsidRPr="00F50340" w14:paraId="6BA796CA" w14:textId="77777777" w:rsidTr="0046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1B4DFB71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11.07.2012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19B3D2F4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46" w:type="dxa"/>
            <w:noWrap/>
            <w:hideMark/>
          </w:tcPr>
          <w:p w14:paraId="22B09742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166289" w:rsidRPr="00F50340" w14:paraId="4893DB41" w14:textId="77777777" w:rsidTr="0046474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1750BF18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14.12.2011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0FBFAB00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446" w:type="dxa"/>
            <w:noWrap/>
            <w:hideMark/>
          </w:tcPr>
          <w:p w14:paraId="470FEA14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166289" w:rsidRPr="00F50340" w14:paraId="64569B59" w14:textId="77777777" w:rsidTr="0046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6B4F2C38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09.11.2011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576057DA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2446" w:type="dxa"/>
            <w:noWrap/>
            <w:hideMark/>
          </w:tcPr>
          <w:p w14:paraId="26173B9C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166289" w:rsidRPr="00F50340" w14:paraId="3E6966E8" w14:textId="77777777" w:rsidTr="0046474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699290B4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13.07.2011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36C62E65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446" w:type="dxa"/>
            <w:noWrap/>
            <w:hideMark/>
          </w:tcPr>
          <w:p w14:paraId="6BEEACD5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166289" w:rsidRPr="00F50340" w14:paraId="7D25A03D" w14:textId="77777777" w:rsidTr="0046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6C9DB21D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13.04.2011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78C6E896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2446" w:type="dxa"/>
            <w:noWrap/>
            <w:hideMark/>
          </w:tcPr>
          <w:p w14:paraId="01D5AB9F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166289" w:rsidRPr="00F50340" w14:paraId="2A87AA4E" w14:textId="77777777" w:rsidTr="0046474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27814E2F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13.05.2009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26A11B98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446" w:type="dxa"/>
            <w:noWrap/>
            <w:hideMark/>
          </w:tcPr>
          <w:p w14:paraId="0DAC6ABE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166289" w:rsidRPr="00F50340" w14:paraId="0D20288A" w14:textId="77777777" w:rsidTr="0046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319D3D6A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08.04.2009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7849E57E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446" w:type="dxa"/>
            <w:noWrap/>
            <w:hideMark/>
          </w:tcPr>
          <w:p w14:paraId="45F618BF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166289" w:rsidRPr="00F50340" w14:paraId="7EC93E3E" w14:textId="77777777" w:rsidTr="0046474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25BFDEBF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11.03.2009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4CD10A18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2446" w:type="dxa"/>
            <w:noWrap/>
            <w:hideMark/>
          </w:tcPr>
          <w:p w14:paraId="0A7D2A37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166289" w:rsidRPr="00F50340" w14:paraId="4E715D22" w14:textId="77777777" w:rsidTr="0046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0965CE8E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21.01.2009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21B1E525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2446" w:type="dxa"/>
            <w:noWrap/>
            <w:hideMark/>
          </w:tcPr>
          <w:p w14:paraId="40B081D3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166289" w:rsidRPr="00F50340" w14:paraId="27197C13" w14:textId="77777777" w:rsidTr="0046474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6E0EC740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01.01.2009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47FEE3A7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2446" w:type="dxa"/>
            <w:noWrap/>
            <w:hideMark/>
          </w:tcPr>
          <w:p w14:paraId="18704BD2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</w:tr>
      <w:tr w:rsidR="00166289" w:rsidRPr="00F50340" w14:paraId="5BABAAF3" w14:textId="77777777" w:rsidTr="00464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17B9B501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12.11.2008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4A61A182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2446" w:type="dxa"/>
            <w:noWrap/>
            <w:hideMark/>
          </w:tcPr>
          <w:p w14:paraId="1E7DD045" w14:textId="77777777" w:rsidR="00166289" w:rsidRPr="00F50340" w:rsidRDefault="00166289" w:rsidP="00464747">
            <w:pPr>
              <w:pStyle w:val="Tabula-kompakta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3,25</w:t>
            </w:r>
          </w:p>
        </w:tc>
      </w:tr>
      <w:tr w:rsidR="00166289" w:rsidRPr="00F50340" w14:paraId="4D13A4FD" w14:textId="77777777" w:rsidTr="0046474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63CA1BD8" w14:textId="77777777" w:rsidR="00166289" w:rsidRPr="00F50340" w:rsidRDefault="00166289" w:rsidP="00464747">
            <w:pPr>
              <w:pStyle w:val="Tabula-kompak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15.10.2008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5B9B1910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3,25</w:t>
            </w:r>
          </w:p>
        </w:tc>
        <w:tc>
          <w:tcPr>
            <w:tcW w:w="2446" w:type="dxa"/>
            <w:noWrap/>
            <w:hideMark/>
          </w:tcPr>
          <w:p w14:paraId="681D74B8" w14:textId="77777777" w:rsidR="00166289" w:rsidRPr="00F50340" w:rsidRDefault="00166289" w:rsidP="00464747">
            <w:pPr>
              <w:pStyle w:val="Tabula-kompak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0340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</w:tr>
    </w:tbl>
    <w:p w14:paraId="5019C8AE" w14:textId="2F8566CF" w:rsidR="00166289" w:rsidRDefault="00166289" w:rsidP="00166289">
      <w:pPr>
        <w:pStyle w:val="Sarakstarindkopa"/>
        <w:tabs>
          <w:tab w:val="left" w:pos="284"/>
          <w:tab w:val="left" w:pos="540"/>
        </w:tabs>
        <w:spacing w:before="0" w:after="0" w:line="259" w:lineRule="auto"/>
        <w:ind w:left="0"/>
        <w:contextualSpacing w:val="0"/>
      </w:pPr>
    </w:p>
    <w:p w14:paraId="03AEBC81" w14:textId="3B66D0B8" w:rsidR="00E06CFD" w:rsidRDefault="00E06CFD" w:rsidP="00E06CFD">
      <w:pPr>
        <w:pStyle w:val="Sarakstarindkopa"/>
        <w:tabs>
          <w:tab w:val="left" w:pos="284"/>
        </w:tabs>
        <w:spacing w:before="0" w:after="0" w:line="259" w:lineRule="auto"/>
        <w:ind w:left="0"/>
        <w:contextualSpacing w:val="0"/>
        <w:jc w:val="right"/>
        <w:rPr>
          <w:rFonts w:ascii="Arial" w:hAnsi="Arial" w:cs="Arial"/>
          <w:sz w:val="24"/>
          <w:szCs w:val="24"/>
          <w:lang w:val="lv-LV"/>
        </w:rPr>
      </w:pPr>
      <w:r w:rsidRPr="00166289">
        <w:br w:type="column"/>
      </w:r>
    </w:p>
    <w:p w14:paraId="3C8AC172" w14:textId="6A03385D" w:rsidR="00077A2A" w:rsidRDefault="000B5D51" w:rsidP="00E06CFD">
      <w:pPr>
        <w:pStyle w:val="Sarakstarindkopa"/>
        <w:numPr>
          <w:ilvl w:val="0"/>
          <w:numId w:val="5"/>
        </w:numPr>
        <w:tabs>
          <w:tab w:val="left" w:pos="284"/>
        </w:tabs>
        <w:spacing w:after="160" w:line="259" w:lineRule="auto"/>
        <w:ind w:left="0" w:firstLine="0"/>
        <w:rPr>
          <w:rFonts w:ascii="Arial" w:hAnsi="Arial" w:cs="Arial"/>
          <w:color w:val="FF0000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ECB Padome galvenās ECB procentu likmes pārskata vidēji reizi sešās nedēļās. Aptuveni kāds bija īsākais intervāls, kad ECB mainīja procentu likmes, kamēr vēl darbojās tradicionālie instrumenti? (Šis nav jāpamato)</w:t>
      </w:r>
    </w:p>
    <w:p w14:paraId="292E9B1E" w14:textId="726202F9" w:rsidR="00E06CFD" w:rsidRPr="00F50340" w:rsidRDefault="000B5D51" w:rsidP="008733AA">
      <w:pPr>
        <w:pStyle w:val="Sarakstarindkopa"/>
        <w:tabs>
          <w:tab w:val="left" w:pos="284"/>
        </w:tabs>
        <w:spacing w:before="0" w:after="160" w:line="259" w:lineRule="auto"/>
        <w:ind w:left="0"/>
        <w:rPr>
          <w:rFonts w:ascii="Arial" w:hAnsi="Arial" w:cs="Arial"/>
          <w:color w:val="FF0000"/>
          <w:sz w:val="24"/>
          <w:szCs w:val="24"/>
          <w:lang w:val="lv-LV"/>
        </w:rPr>
      </w:pPr>
      <w:r w:rsidRPr="00F50340">
        <w:rPr>
          <w:rFonts w:ascii="Arial" w:hAnsi="Arial" w:cs="Arial"/>
          <w:color w:val="FF0000"/>
          <w:sz w:val="24"/>
          <w:szCs w:val="24"/>
          <w:lang w:val="lv-LV"/>
        </w:rPr>
        <w:t>Reizi vienā vai divos mēnešos.</w:t>
      </w:r>
    </w:p>
    <w:p w14:paraId="70ACD1E1" w14:textId="5CC60C3D" w:rsidR="00077A2A" w:rsidRDefault="000B5D51" w:rsidP="008733AA">
      <w:pPr>
        <w:pStyle w:val="Sarakstarindkopa"/>
        <w:numPr>
          <w:ilvl w:val="0"/>
          <w:numId w:val="5"/>
        </w:numPr>
        <w:tabs>
          <w:tab w:val="left" w:pos="284"/>
        </w:tabs>
        <w:spacing w:before="0" w:after="160" w:line="259" w:lineRule="auto"/>
        <w:ind w:left="0" w:firstLine="0"/>
        <w:rPr>
          <w:rFonts w:ascii="Arial" w:hAnsi="Arial" w:cs="Arial"/>
          <w:color w:val="FF0000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Kurā gadā pilnībā beidza darboties procentu likmju samazināšanas mehānisms kā iespēja pastiprināt stimulējošo monetāro politiku?</w:t>
      </w:r>
    </w:p>
    <w:p w14:paraId="5B091993" w14:textId="3C919033" w:rsidR="000B5D51" w:rsidRPr="00F50340" w:rsidRDefault="000B5D51" w:rsidP="008733AA">
      <w:pPr>
        <w:pStyle w:val="Sarakstarindkopa"/>
        <w:tabs>
          <w:tab w:val="left" w:pos="284"/>
        </w:tabs>
        <w:spacing w:before="0" w:after="160" w:line="259" w:lineRule="auto"/>
        <w:ind w:left="0"/>
        <w:rPr>
          <w:rFonts w:ascii="Arial" w:hAnsi="Arial" w:cs="Arial"/>
          <w:color w:val="FF0000"/>
          <w:sz w:val="24"/>
          <w:szCs w:val="24"/>
          <w:lang w:val="lv-LV"/>
        </w:rPr>
      </w:pPr>
      <w:r w:rsidRPr="00F50340">
        <w:rPr>
          <w:rFonts w:ascii="Arial" w:hAnsi="Arial" w:cs="Arial"/>
          <w:color w:val="FF0000"/>
          <w:sz w:val="24"/>
          <w:szCs w:val="24"/>
          <w:lang w:val="lv-LV"/>
        </w:rPr>
        <w:t>2019. gadā, jo procentu likmes tālāk negatīvajā teritorijā vairs netika samazinātas.</w:t>
      </w:r>
    </w:p>
    <w:p w14:paraId="6F3223E3" w14:textId="77777777" w:rsidR="00077A2A" w:rsidRPr="008733AA" w:rsidRDefault="000B5D51" w:rsidP="008733AA">
      <w:pPr>
        <w:pStyle w:val="Sarakstarindkopa"/>
        <w:numPr>
          <w:ilvl w:val="0"/>
          <w:numId w:val="5"/>
        </w:numPr>
        <w:tabs>
          <w:tab w:val="left" w:pos="284"/>
        </w:tabs>
        <w:spacing w:before="0" w:after="160" w:line="259" w:lineRule="auto"/>
        <w:ind w:left="0" w:firstLine="0"/>
        <w:rPr>
          <w:rFonts w:ascii="Arial" w:hAnsi="Arial" w:cs="Arial"/>
          <w:color w:val="FF0000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Kurā gadā ECB sāka sodīt kredītiestādes par naudas turēšanu centrālajā bankā?</w:t>
      </w:r>
    </w:p>
    <w:p w14:paraId="072706F4" w14:textId="29BDBE16" w:rsidR="000B5D51" w:rsidRPr="00F50340" w:rsidRDefault="000B5D51" w:rsidP="008733AA">
      <w:pPr>
        <w:pStyle w:val="Sarakstarindkopa"/>
        <w:tabs>
          <w:tab w:val="left" w:pos="284"/>
        </w:tabs>
        <w:spacing w:before="0" w:after="160" w:line="259" w:lineRule="auto"/>
        <w:ind w:left="0"/>
        <w:rPr>
          <w:rFonts w:ascii="Arial" w:hAnsi="Arial" w:cs="Arial"/>
          <w:color w:val="FF0000"/>
          <w:sz w:val="24"/>
          <w:szCs w:val="24"/>
          <w:lang w:val="lv-LV"/>
        </w:rPr>
      </w:pPr>
      <w:r w:rsidRPr="00F50340">
        <w:rPr>
          <w:rFonts w:ascii="Arial" w:hAnsi="Arial" w:cs="Arial"/>
          <w:color w:val="FF0000"/>
          <w:sz w:val="24"/>
          <w:szCs w:val="24"/>
          <w:lang w:val="lv-LV"/>
        </w:rPr>
        <w:t>2014. gadā (negatīva noguldījumu iespējas procentu  likme)</w:t>
      </w:r>
    </w:p>
    <w:p w14:paraId="7F427D5A" w14:textId="77777777" w:rsidR="000B5D51" w:rsidRPr="00F50340" w:rsidRDefault="000B5D51" w:rsidP="008733AA">
      <w:pPr>
        <w:pStyle w:val="Sarakstarindkopa"/>
        <w:numPr>
          <w:ilvl w:val="0"/>
          <w:numId w:val="5"/>
        </w:numPr>
        <w:tabs>
          <w:tab w:val="left" w:pos="284"/>
        </w:tabs>
        <w:spacing w:before="0" w:after="160" w:line="259" w:lineRule="auto"/>
        <w:ind w:left="0" w:firstLine="0"/>
        <w:rPr>
          <w:rFonts w:ascii="Arial" w:hAnsi="Arial" w:cs="Arial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Kurā gadā ECB kaut īsu brīdi centās īstenot ierobežojošu monetāro politiku?</w:t>
      </w:r>
    </w:p>
    <w:p w14:paraId="34CFE72C" w14:textId="77777777" w:rsidR="000B5D51" w:rsidRPr="00F50340" w:rsidRDefault="000B5D51" w:rsidP="008733AA">
      <w:pPr>
        <w:pStyle w:val="Sarakstarindkopa"/>
        <w:tabs>
          <w:tab w:val="left" w:pos="284"/>
        </w:tabs>
        <w:spacing w:before="0" w:after="160" w:line="259" w:lineRule="auto"/>
        <w:ind w:left="0"/>
        <w:rPr>
          <w:rFonts w:ascii="Arial" w:hAnsi="Arial" w:cs="Arial"/>
          <w:color w:val="FF0000"/>
          <w:sz w:val="24"/>
          <w:szCs w:val="24"/>
          <w:lang w:val="lv-LV"/>
        </w:rPr>
      </w:pPr>
      <w:r w:rsidRPr="00F50340">
        <w:rPr>
          <w:rFonts w:ascii="Arial" w:hAnsi="Arial" w:cs="Arial"/>
          <w:color w:val="FF0000"/>
          <w:sz w:val="24"/>
          <w:szCs w:val="24"/>
          <w:lang w:val="lv-LV"/>
        </w:rPr>
        <w:t xml:space="preserve">2011. gadā, jo aprīlī un jūlijā galveno refinansēšanas operāciju procentu likme un noguldījumu iespējas procentu likme tika paaugstināta katru reizi par 25 bāzes punktiem, bet novembrī un decembrī – pazemināta katru reizi par 25 bāzes punktiem. </w:t>
      </w:r>
    </w:p>
    <w:p w14:paraId="6BC7DAC6" w14:textId="3755D75C" w:rsidR="00077A2A" w:rsidRPr="008733AA" w:rsidRDefault="000B5D51" w:rsidP="008733AA">
      <w:pPr>
        <w:pStyle w:val="Sarakstarindkopa"/>
        <w:numPr>
          <w:ilvl w:val="0"/>
          <w:numId w:val="5"/>
        </w:numPr>
        <w:tabs>
          <w:tab w:val="left" w:pos="284"/>
        </w:tabs>
        <w:spacing w:before="0" w:after="160" w:line="259" w:lineRule="auto"/>
        <w:ind w:left="0" w:firstLine="0"/>
        <w:rPr>
          <w:rFonts w:ascii="Arial" w:hAnsi="Arial" w:cs="Arial"/>
          <w:sz w:val="24"/>
          <w:szCs w:val="24"/>
          <w:lang w:val="lv-LV"/>
        </w:rPr>
      </w:pPr>
      <w:r w:rsidRPr="00F50340">
        <w:rPr>
          <w:rFonts w:ascii="Arial" w:hAnsi="Arial" w:cs="Arial"/>
          <w:sz w:val="24"/>
          <w:szCs w:val="24"/>
          <w:lang w:val="lv-LV"/>
        </w:rPr>
        <w:t>Nosauc un izskaidro tādu netradicionālās monetārās politikas transmisijas mehānismu, ar kuru centrālā banka aktīvi cenšas palielināt naudas piedāvājumu un vērtspapīru cenas!</w:t>
      </w:r>
    </w:p>
    <w:p w14:paraId="26E45808" w14:textId="5E1F247E" w:rsidR="000B5D51" w:rsidRPr="00F50340" w:rsidRDefault="000B5D51" w:rsidP="008733AA">
      <w:pPr>
        <w:pStyle w:val="Sarakstarindkopa"/>
        <w:tabs>
          <w:tab w:val="left" w:pos="284"/>
        </w:tabs>
        <w:spacing w:before="0" w:after="160" w:line="259" w:lineRule="auto"/>
        <w:ind w:left="0"/>
        <w:rPr>
          <w:rFonts w:ascii="Arial" w:hAnsi="Arial" w:cs="Arial"/>
          <w:sz w:val="24"/>
          <w:szCs w:val="24"/>
          <w:lang w:val="lv-LV"/>
        </w:rPr>
      </w:pPr>
      <w:r w:rsidRPr="00F50340">
        <w:rPr>
          <w:rFonts w:ascii="Arial" w:hAnsi="Arial" w:cs="Arial"/>
          <w:color w:val="FF0000"/>
          <w:sz w:val="24"/>
          <w:szCs w:val="24"/>
          <w:lang w:val="lv-LV"/>
        </w:rPr>
        <w:t>Aktīvu pirkšanas programmu ietvaros centrālās bankas iegādājas parāda vērtspapīrus, tādējādi apmainot vērtspapīrus pret naudu, kuru var izmantot patērētāji un uzņēmēji patēriņam un investīcijām.</w:t>
      </w:r>
    </w:p>
    <w:tbl>
      <w:tblPr>
        <w:tblStyle w:val="Reatabula"/>
        <w:tblW w:w="0" w:type="auto"/>
        <w:tblLook w:val="01E0" w:firstRow="1" w:lastRow="1" w:firstColumn="1" w:lastColumn="1" w:noHBand="0" w:noVBand="0"/>
      </w:tblPr>
      <w:tblGrid>
        <w:gridCol w:w="924"/>
        <w:gridCol w:w="610"/>
        <w:gridCol w:w="738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B5D51" w:rsidRPr="008733AA" w14:paraId="467BBC8A" w14:textId="77777777" w:rsidTr="00712104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49A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sz w:val="24"/>
                <w:szCs w:val="24"/>
              </w:rPr>
            </w:pPr>
            <w:r w:rsidRPr="00166289">
              <w:rPr>
                <w:rFonts w:ascii="Arial" w:hAnsi="Arial" w:cs="Arial"/>
                <w:sz w:val="24"/>
                <w:szCs w:val="24"/>
              </w:rPr>
              <w:t>Vērtēšana</w:t>
            </w:r>
          </w:p>
        </w:tc>
      </w:tr>
      <w:tr w:rsidR="000B5D51" w:rsidRPr="008733AA" w14:paraId="270FA4FC" w14:textId="77777777" w:rsidTr="00712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6BF" w14:textId="77777777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Balles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458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E56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EF8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CA2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A10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15A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5DC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C6F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B0D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B90" w14:textId="77777777" w:rsidR="000B5D51" w:rsidRPr="00166289" w:rsidRDefault="000B5D51" w:rsidP="00166289">
            <w:pPr>
              <w:pStyle w:val="Tabula-kompakta"/>
              <w:rPr>
                <w:rFonts w:ascii="Arial" w:hAnsi="Arial" w:cs="Arial"/>
                <w:b/>
                <w:bCs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0B5D51" w:rsidRPr="008733AA" w14:paraId="3B17119A" w14:textId="77777777" w:rsidTr="00712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0F0" w14:textId="77777777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</w:rPr>
              <w:t>Punkti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356A" w14:textId="7333AE4C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</w:rPr>
              <w:t>1</w:t>
            </w:r>
            <w:r w:rsidR="008733AA" w:rsidRPr="00166289">
              <w:rPr>
                <w:rFonts w:ascii="Arial" w:hAnsi="Arial" w:cs="Arial"/>
                <w:sz w:val="24"/>
                <w:szCs w:val="24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F42" w14:textId="20B29D8F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</w:rPr>
              <w:t>7</w:t>
            </w:r>
            <w:r w:rsidR="008733AA" w:rsidRPr="00166289">
              <w:rPr>
                <w:rFonts w:ascii="Arial" w:hAnsi="Arial" w:cs="Arial"/>
                <w:sz w:val="24"/>
                <w:szCs w:val="24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951" w14:textId="7F534BD7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</w:rPr>
              <w:t>11</w:t>
            </w:r>
            <w:r w:rsidR="008733AA" w:rsidRPr="00166289">
              <w:rPr>
                <w:rFonts w:ascii="Arial" w:hAnsi="Arial" w:cs="Arial"/>
                <w:sz w:val="24"/>
                <w:szCs w:val="24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975" w14:textId="39916F97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</w:rPr>
              <w:t>14</w:t>
            </w:r>
            <w:r w:rsidR="008733AA" w:rsidRPr="00166289">
              <w:rPr>
                <w:rFonts w:ascii="Arial" w:hAnsi="Arial" w:cs="Arial"/>
                <w:sz w:val="24"/>
                <w:szCs w:val="24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FF5" w14:textId="1B72D0B2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</w:rPr>
              <w:t>16</w:t>
            </w:r>
            <w:r w:rsidR="008733AA" w:rsidRPr="00166289">
              <w:rPr>
                <w:rFonts w:ascii="Arial" w:hAnsi="Arial" w:cs="Arial"/>
                <w:sz w:val="24"/>
                <w:szCs w:val="24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DC5" w14:textId="1EBCF22A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18</w:t>
            </w:r>
            <w:r w:rsidR="008733AA" w:rsidRPr="00166289">
              <w:rPr>
                <w:rFonts w:ascii="Arial" w:hAnsi="Arial" w:cs="Arial"/>
                <w:sz w:val="24"/>
                <w:szCs w:val="24"/>
                <w:lang w:eastAsia="lv-LV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A65" w14:textId="51A30342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20</w:t>
            </w:r>
            <w:r w:rsidR="008733AA" w:rsidRPr="00166289">
              <w:rPr>
                <w:rFonts w:ascii="Arial" w:hAnsi="Arial" w:cs="Arial"/>
                <w:sz w:val="24"/>
                <w:szCs w:val="24"/>
                <w:lang w:eastAsia="lv-LV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7A3" w14:textId="75C0D82F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22</w:t>
            </w:r>
            <w:r w:rsidR="008733AA" w:rsidRPr="00166289">
              <w:rPr>
                <w:rFonts w:ascii="Arial" w:hAnsi="Arial" w:cs="Arial"/>
                <w:sz w:val="24"/>
                <w:szCs w:val="24"/>
                <w:lang w:eastAsia="lv-LV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4FA" w14:textId="023281C8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24</w:t>
            </w:r>
            <w:r w:rsidR="008733AA" w:rsidRPr="00166289">
              <w:rPr>
                <w:rFonts w:ascii="Arial" w:hAnsi="Arial" w:cs="Arial"/>
                <w:sz w:val="24"/>
                <w:szCs w:val="24"/>
                <w:lang w:eastAsia="lv-LV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FB7" w14:textId="66A98F20" w:rsidR="000B5D51" w:rsidRPr="00166289" w:rsidRDefault="000B5D51" w:rsidP="00712104">
            <w:pPr>
              <w:pStyle w:val="Tabula-kompakta"/>
              <w:jc w:val="both"/>
              <w:rPr>
                <w:rFonts w:ascii="Arial" w:hAnsi="Arial" w:cs="Arial"/>
                <w:sz w:val="24"/>
                <w:szCs w:val="24"/>
                <w:lang w:eastAsia="lv-LV"/>
              </w:rPr>
            </w:pP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26</w:t>
            </w:r>
            <w:r w:rsidR="008733AA" w:rsidRPr="00166289">
              <w:rPr>
                <w:rFonts w:ascii="Arial" w:hAnsi="Arial" w:cs="Arial"/>
                <w:sz w:val="24"/>
                <w:szCs w:val="24"/>
                <w:lang w:eastAsia="lv-LV"/>
              </w:rPr>
              <w:t>–</w:t>
            </w:r>
            <w:r w:rsidRPr="00166289">
              <w:rPr>
                <w:rFonts w:ascii="Arial" w:hAnsi="Arial" w:cs="Arial"/>
                <w:sz w:val="24"/>
                <w:szCs w:val="24"/>
                <w:lang w:eastAsia="lv-LV"/>
              </w:rPr>
              <w:t>27</w:t>
            </w:r>
          </w:p>
        </w:tc>
      </w:tr>
    </w:tbl>
    <w:p w14:paraId="7F0B1DC7" w14:textId="77777777" w:rsidR="000B5D51" w:rsidRPr="00F50340" w:rsidRDefault="000B5D51" w:rsidP="000B5D51">
      <w:pPr>
        <w:spacing w:before="0" w:after="160" w:line="259" w:lineRule="auto"/>
        <w:rPr>
          <w:rFonts w:ascii="Arial" w:hAnsi="Arial" w:cs="Arial"/>
          <w:sz w:val="24"/>
          <w:szCs w:val="24"/>
          <w:lang w:val="lv-LV"/>
        </w:rPr>
      </w:pPr>
    </w:p>
    <w:p w14:paraId="6F0224DB" w14:textId="77777777" w:rsidR="00081885" w:rsidRPr="00F50340" w:rsidRDefault="00081885" w:rsidP="000B5D51">
      <w:pPr>
        <w:rPr>
          <w:rFonts w:ascii="Arial" w:hAnsi="Arial" w:cs="Arial"/>
        </w:rPr>
      </w:pPr>
    </w:p>
    <w:sectPr w:rsidR="00081885" w:rsidRPr="00F50340" w:rsidSect="00166289">
      <w:headerReference w:type="default" r:id="rId8"/>
      <w:footerReference w:type="default" r:id="rId9"/>
      <w:pgSz w:w="11906" w:h="16838" w:code="9"/>
      <w:pgMar w:top="709" w:right="851" w:bottom="284" w:left="1797" w:header="720" w:footer="28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21D04" w14:textId="77777777" w:rsidR="00E06CFD" w:rsidRDefault="00E06CFD" w:rsidP="00E06CFD">
      <w:pPr>
        <w:spacing w:before="0" w:after="0" w:line="240" w:lineRule="auto"/>
      </w:pPr>
      <w:r>
        <w:separator/>
      </w:r>
    </w:p>
  </w:endnote>
  <w:endnote w:type="continuationSeparator" w:id="0">
    <w:p w14:paraId="10B2E1A8" w14:textId="77777777" w:rsidR="00E06CFD" w:rsidRDefault="00E06CFD" w:rsidP="00E06C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802323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A109DBC" w14:textId="2F2A73DE" w:rsidR="00166289" w:rsidRPr="00166289" w:rsidRDefault="00166289">
        <w:pPr>
          <w:pStyle w:val="Kjene"/>
          <w:jc w:val="right"/>
          <w:rPr>
            <w:rFonts w:ascii="Arial" w:hAnsi="Arial" w:cs="Arial"/>
            <w:sz w:val="18"/>
            <w:szCs w:val="18"/>
          </w:rPr>
        </w:pPr>
        <w:r w:rsidRPr="00166289">
          <w:rPr>
            <w:rFonts w:ascii="Arial" w:hAnsi="Arial" w:cs="Arial"/>
            <w:sz w:val="18"/>
            <w:szCs w:val="18"/>
          </w:rPr>
          <w:fldChar w:fldCharType="begin"/>
        </w:r>
        <w:r w:rsidRPr="00166289">
          <w:rPr>
            <w:rFonts w:ascii="Arial" w:hAnsi="Arial" w:cs="Arial"/>
            <w:sz w:val="18"/>
            <w:szCs w:val="18"/>
          </w:rPr>
          <w:instrText>PAGE   \* MERGEFORMAT</w:instrText>
        </w:r>
        <w:r w:rsidRPr="00166289">
          <w:rPr>
            <w:rFonts w:ascii="Arial" w:hAnsi="Arial" w:cs="Arial"/>
            <w:sz w:val="18"/>
            <w:szCs w:val="18"/>
          </w:rPr>
          <w:fldChar w:fldCharType="separate"/>
        </w:r>
        <w:r w:rsidRPr="00166289">
          <w:rPr>
            <w:rFonts w:ascii="Arial" w:hAnsi="Arial" w:cs="Arial"/>
            <w:sz w:val="18"/>
            <w:szCs w:val="18"/>
            <w:lang w:val="lv-LV"/>
          </w:rPr>
          <w:t>2</w:t>
        </w:r>
        <w:r w:rsidRPr="0016628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DBA4053" w14:textId="77777777" w:rsidR="00166289" w:rsidRDefault="0016628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9F1AB" w14:textId="77777777" w:rsidR="00E06CFD" w:rsidRDefault="00E06CFD" w:rsidP="00E06CFD">
      <w:pPr>
        <w:spacing w:before="0" w:after="0" w:line="240" w:lineRule="auto"/>
      </w:pPr>
      <w:r>
        <w:separator/>
      </w:r>
    </w:p>
  </w:footnote>
  <w:footnote w:type="continuationSeparator" w:id="0">
    <w:p w14:paraId="07FA48B2" w14:textId="77777777" w:rsidR="00E06CFD" w:rsidRDefault="00E06CFD" w:rsidP="00E06C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ECD69" w14:textId="77777777" w:rsidR="00E06CFD" w:rsidRPr="000879B2" w:rsidRDefault="00E06CFD" w:rsidP="00E06CFD">
    <w:pPr>
      <w:pStyle w:val="004Heders"/>
    </w:pPr>
    <w:bookmarkStart w:id="0" w:name="_Hlk64615038"/>
    <w:bookmarkStart w:id="1" w:name="_Hlk64615039"/>
    <w:bookmarkStart w:id="2" w:name="_Hlk64615064"/>
    <w:bookmarkStart w:id="3" w:name="_Hlk64615065"/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2F85A72" wp14:editId="4CB2A5AC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597B02D8" w14:textId="77777777" w:rsidR="00E06CFD" w:rsidRDefault="00E06CFD" w:rsidP="00E06CFD">
    <w:pPr>
      <w:pStyle w:val="004Heders"/>
    </w:pPr>
    <w:r w:rsidRPr="001E0F1B">
      <w:t xml:space="preserve">Nauda un monetārā politika </w:t>
    </w:r>
  </w:p>
  <w:p w14:paraId="5F29002B" w14:textId="16E85193" w:rsidR="00E06CFD" w:rsidRDefault="00E06CFD" w:rsidP="00E06CFD">
    <w:pPr>
      <w:pStyle w:val="004Heders"/>
    </w:pPr>
    <w:r w:rsidRPr="001E0F1B">
      <w:t>Banku bezskaidrā nauda mūsdienu finanšu sistēmā</w:t>
    </w:r>
    <w:bookmarkEnd w:id="0"/>
    <w:bookmarkEnd w:id="1"/>
    <w:bookmarkEnd w:id="2"/>
    <w:bookmarkEnd w:id="3"/>
  </w:p>
  <w:p w14:paraId="11992681" w14:textId="77777777" w:rsidR="00166289" w:rsidRPr="00166289" w:rsidRDefault="00166289" w:rsidP="00166289">
    <w:pPr>
      <w:pStyle w:val="Virsraksts-PBB"/>
      <w:pageBreakBefore w:val="0"/>
      <w:spacing w:before="0" w:after="0" w:line="240" w:lineRule="auto"/>
      <w:jc w:val="right"/>
      <w:rPr>
        <w:rFonts w:ascii="Arial" w:hAnsi="Arial" w:cs="Arial"/>
        <w:b w:val="0"/>
        <w:bCs/>
        <w:sz w:val="16"/>
        <w:szCs w:val="16"/>
      </w:rPr>
    </w:pPr>
    <w:r w:rsidRPr="00166289">
      <w:rPr>
        <w:rFonts w:ascii="Arial" w:hAnsi="Arial" w:cs="Arial"/>
        <w:b w:val="0"/>
        <w:bCs/>
        <w:sz w:val="16"/>
        <w:szCs w:val="16"/>
      </w:rPr>
      <w:t>Pārbaudes darbs / Skolotāja materiāls</w:t>
    </w:r>
  </w:p>
  <w:p w14:paraId="47B89015" w14:textId="77777777" w:rsidR="00166289" w:rsidRPr="00706265" w:rsidRDefault="00166289" w:rsidP="00166289">
    <w:pPr>
      <w:pStyle w:val="004Heders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95452"/>
    <w:multiLevelType w:val="hybridMultilevel"/>
    <w:tmpl w:val="74F67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8D1"/>
    <w:multiLevelType w:val="hybridMultilevel"/>
    <w:tmpl w:val="2DB4AE16"/>
    <w:lvl w:ilvl="0" w:tplc="0710717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564DA4"/>
    <w:multiLevelType w:val="hybridMultilevel"/>
    <w:tmpl w:val="987C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205FC"/>
    <w:multiLevelType w:val="hybridMultilevel"/>
    <w:tmpl w:val="6D54A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7582"/>
    <w:multiLevelType w:val="hybridMultilevel"/>
    <w:tmpl w:val="B36E3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AA0B6A0">
      <w:start w:val="1"/>
      <w:numFmt w:val="lowerLetter"/>
      <w:lvlText w:val="%2."/>
      <w:lvlJc w:val="left"/>
      <w:pPr>
        <w:ind w:left="1440" w:hanging="360"/>
      </w:pPr>
      <w:rPr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4"/>
    <w:rsid w:val="00017828"/>
    <w:rsid w:val="00077464"/>
    <w:rsid w:val="00077A2A"/>
    <w:rsid w:val="00081885"/>
    <w:rsid w:val="00087B49"/>
    <w:rsid w:val="000B5D51"/>
    <w:rsid w:val="0010278F"/>
    <w:rsid w:val="00166289"/>
    <w:rsid w:val="001E0F8F"/>
    <w:rsid w:val="005023CD"/>
    <w:rsid w:val="006222FC"/>
    <w:rsid w:val="00775C54"/>
    <w:rsid w:val="007F21B8"/>
    <w:rsid w:val="008304C0"/>
    <w:rsid w:val="008733AA"/>
    <w:rsid w:val="00915212"/>
    <w:rsid w:val="00B338C8"/>
    <w:rsid w:val="00E06CFD"/>
    <w:rsid w:val="00EA7F63"/>
    <w:rsid w:val="00F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8C146"/>
  <w15:chartTrackingRefBased/>
  <w15:docId w15:val="{FC8F0E31-1E39-4B38-BFD2-3E7E551F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7464"/>
    <w:pPr>
      <w:spacing w:before="120" w:after="120" w:line="276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-PBB">
    <w:name w:val="Virsraksts-PBB"/>
    <w:basedOn w:val="Parasts"/>
    <w:link w:val="Virsraksts-PBBChar"/>
    <w:qFormat/>
    <w:rsid w:val="00077464"/>
    <w:pPr>
      <w:keepNext/>
      <w:pageBreakBefore/>
      <w:spacing w:before="240"/>
    </w:pPr>
    <w:rPr>
      <w:b/>
      <w:lang w:val="lv-LV"/>
    </w:rPr>
  </w:style>
  <w:style w:type="character" w:customStyle="1" w:styleId="Virsraksts-PBBChar">
    <w:name w:val="Virsraksts-PBB Char"/>
    <w:basedOn w:val="Noklusjumarindkopasfonts"/>
    <w:link w:val="Virsraksts-PBB"/>
    <w:rsid w:val="00077464"/>
    <w:rPr>
      <w:rFonts w:ascii="Times New Roman" w:hAnsi="Times New Roman"/>
      <w:b/>
      <w:sz w:val="28"/>
    </w:rPr>
  </w:style>
  <w:style w:type="table" w:styleId="Reatabula">
    <w:name w:val="Table Grid"/>
    <w:basedOn w:val="Parastatabula"/>
    <w:rsid w:val="001027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8C8"/>
    <w:pPr>
      <w:ind w:left="720"/>
      <w:contextualSpacing/>
    </w:pPr>
  </w:style>
  <w:style w:type="paragraph" w:customStyle="1" w:styleId="Tabula-kompakta">
    <w:name w:val="Tabula-kompakta"/>
    <w:basedOn w:val="Parasts"/>
    <w:link w:val="Tabula-kompaktaChar"/>
    <w:qFormat/>
    <w:rsid w:val="00B338C8"/>
    <w:pPr>
      <w:spacing w:before="20" w:after="20"/>
      <w:jc w:val="center"/>
    </w:pPr>
    <w:rPr>
      <w:rFonts w:cs="Times New Roman"/>
      <w:szCs w:val="28"/>
      <w:lang w:val="lv-LV"/>
    </w:rPr>
  </w:style>
  <w:style w:type="character" w:customStyle="1" w:styleId="Tabula-kompaktaChar">
    <w:name w:val="Tabula-kompakta Char"/>
    <w:basedOn w:val="Noklusjumarindkopasfonts"/>
    <w:link w:val="Tabula-kompakta"/>
    <w:rsid w:val="00B338C8"/>
    <w:rPr>
      <w:rFonts w:ascii="Times New Roman" w:hAnsi="Times New Roman" w:cs="Times New Roman"/>
      <w:sz w:val="28"/>
      <w:szCs w:val="28"/>
    </w:rPr>
  </w:style>
  <w:style w:type="table" w:styleId="Reatabula4">
    <w:name w:val="Grid Table 4"/>
    <w:basedOn w:val="Parastatabula"/>
    <w:uiPriority w:val="49"/>
    <w:rsid w:val="00B338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5023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023C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023CD"/>
    <w:rPr>
      <w:rFonts w:ascii="Times New Roman" w:hAnsi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023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023CD"/>
    <w:rPr>
      <w:rFonts w:ascii="Times New Roman" w:hAnsi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8733AA"/>
    <w:pPr>
      <w:spacing w:after="0" w:line="240" w:lineRule="auto"/>
    </w:pPr>
    <w:rPr>
      <w:rFonts w:ascii="Times New Roman" w:hAnsi="Times New Roman"/>
      <w:sz w:val="2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06C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6CFD"/>
    <w:rPr>
      <w:rFonts w:ascii="Times New Roman" w:hAnsi="Times New Roman"/>
      <w:sz w:val="2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06C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6CFD"/>
    <w:rPr>
      <w:rFonts w:ascii="Times New Roman" w:hAnsi="Times New Roman"/>
      <w:sz w:val="28"/>
      <w:lang w:val="en-US"/>
    </w:rPr>
  </w:style>
  <w:style w:type="paragraph" w:customStyle="1" w:styleId="004Heders">
    <w:name w:val="004 Heders"/>
    <w:basedOn w:val="Parasts"/>
    <w:qFormat/>
    <w:rsid w:val="00E06CFD"/>
    <w:pPr>
      <w:tabs>
        <w:tab w:val="center" w:pos="4513"/>
        <w:tab w:val="right" w:pos="9026"/>
      </w:tabs>
      <w:spacing w:before="0" w:after="0" w:line="240" w:lineRule="auto"/>
      <w:jc w:val="right"/>
    </w:pPr>
    <w:rPr>
      <w:rFonts w:ascii="Arial" w:hAnsi="Arial" w:cs="Arial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2574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11</cp:revision>
  <cp:lastPrinted>2021-03-15T07:28:00Z</cp:lastPrinted>
  <dcterms:created xsi:type="dcterms:W3CDTF">2021-02-18T10:25:00Z</dcterms:created>
  <dcterms:modified xsi:type="dcterms:W3CDTF">2021-03-15T07:28:00Z</dcterms:modified>
</cp:coreProperties>
</file>